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517" w:rsidRPr="00CB5DD7" w:rsidRDefault="00EE6B01" w:rsidP="004B0517">
      <w:pPr>
        <w:pStyle w:val="DocketNo0"/>
        <w:rPr>
          <w:rFonts w:eastAsia="Calibri"/>
        </w:rPr>
      </w:pPr>
      <w:bookmarkStart w:id="0" w:name="_GoBack"/>
      <w:bookmarkEnd w:id="0"/>
      <w:r w:rsidRPr="00CB5DD7">
        <w:rPr>
          <w:rFonts w:eastAsia="Calibri"/>
        </w:rPr>
        <w:t>PUC DOCKET NO. 46449</w:t>
      </w:r>
      <w:r w:rsidRPr="00CB5DD7">
        <w:rPr>
          <w:rFonts w:eastAsia="Calibri"/>
        </w:rPr>
        <w:br/>
        <w:t>SOAH DOCKET NO. 473-17-1764</w:t>
      </w:r>
    </w:p>
    <w:p w:rsidR="004B0517" w:rsidRPr="00CB5DD7" w:rsidRDefault="004B0517" w:rsidP="004B0517">
      <w:pPr>
        <w:pStyle w:val="DocketNo0"/>
      </w:pPr>
    </w:p>
    <w:tbl>
      <w:tblPr>
        <w:tblW w:w="10071" w:type="dxa"/>
        <w:tblLook w:val="01E0" w:firstRow="1" w:lastRow="1" w:firstColumn="1" w:lastColumn="1" w:noHBand="0" w:noVBand="0"/>
      </w:tblPr>
      <w:tblGrid>
        <w:gridCol w:w="4698"/>
        <w:gridCol w:w="630"/>
        <w:gridCol w:w="4743"/>
      </w:tblGrid>
      <w:tr w:rsidR="004B0517" w:rsidRPr="00CB5DD7" w:rsidTr="00B652C0">
        <w:tc>
          <w:tcPr>
            <w:tcW w:w="4698" w:type="dxa"/>
          </w:tcPr>
          <w:p w:rsidR="004B0517" w:rsidRPr="00CB5DD7" w:rsidRDefault="004B0517" w:rsidP="00B652C0">
            <w:pPr>
              <w:pStyle w:val="CaseCaption"/>
              <w:jc w:val="left"/>
            </w:pPr>
            <w:r w:rsidRPr="00CB5DD7">
              <w:t>APPLICATION OF SOUTHWESTERN ELECTRIC POWER COMPANY FOR AUTHORITY TO CHANGE RATES</w:t>
            </w:r>
          </w:p>
        </w:tc>
        <w:tc>
          <w:tcPr>
            <w:tcW w:w="630" w:type="dxa"/>
          </w:tcPr>
          <w:p w:rsidR="004B0517" w:rsidRPr="00CB5DD7" w:rsidRDefault="004B0517" w:rsidP="00B652C0">
            <w:pPr>
              <w:pStyle w:val="CaseCaption"/>
            </w:pPr>
            <w:r w:rsidRPr="00CB5DD7">
              <w:t>§</w:t>
            </w:r>
          </w:p>
          <w:p w:rsidR="004B0517" w:rsidRPr="00CB5DD7" w:rsidRDefault="004B0517" w:rsidP="00B652C0">
            <w:pPr>
              <w:pStyle w:val="CaseCaption"/>
            </w:pPr>
            <w:r w:rsidRPr="00CB5DD7">
              <w:t>§</w:t>
            </w:r>
          </w:p>
          <w:p w:rsidR="004B0517" w:rsidRPr="00CB5DD7" w:rsidRDefault="004B0517" w:rsidP="00B652C0">
            <w:pPr>
              <w:pStyle w:val="CaseCaption"/>
            </w:pPr>
            <w:r w:rsidRPr="00CB5DD7">
              <w:t>§</w:t>
            </w:r>
          </w:p>
          <w:p w:rsidR="004B0517" w:rsidRPr="00CB5DD7" w:rsidRDefault="004B0517" w:rsidP="00B652C0">
            <w:pPr>
              <w:pStyle w:val="CaseCaption"/>
            </w:pPr>
            <w:r w:rsidRPr="00CB5DD7">
              <w:t>§</w:t>
            </w:r>
          </w:p>
          <w:p w:rsidR="004B0517" w:rsidRPr="00CB5DD7" w:rsidRDefault="004B0517" w:rsidP="004B0517">
            <w:pPr>
              <w:pStyle w:val="CaseCaption"/>
            </w:pPr>
          </w:p>
        </w:tc>
        <w:tc>
          <w:tcPr>
            <w:tcW w:w="4743" w:type="dxa"/>
          </w:tcPr>
          <w:p w:rsidR="004B0517" w:rsidRPr="00CB5DD7" w:rsidRDefault="00EE6B01" w:rsidP="00B652C0">
            <w:pPr>
              <w:pStyle w:val="CaseCaption"/>
            </w:pPr>
            <w:r w:rsidRPr="00CB5DD7">
              <w:t>Public utility commission</w:t>
            </w:r>
          </w:p>
          <w:p w:rsidR="00EE6B01" w:rsidRPr="00CB5DD7" w:rsidRDefault="00EE6B01" w:rsidP="00B652C0">
            <w:pPr>
              <w:pStyle w:val="CaseCaption"/>
            </w:pPr>
          </w:p>
          <w:p w:rsidR="00EE6B01" w:rsidRPr="00CB5DD7" w:rsidRDefault="00EE6B01" w:rsidP="00B652C0">
            <w:pPr>
              <w:pStyle w:val="CaseCaption"/>
            </w:pPr>
            <w:r w:rsidRPr="00CB5DD7">
              <w:t>of texas</w:t>
            </w:r>
          </w:p>
        </w:tc>
      </w:tr>
    </w:tbl>
    <w:p w:rsidR="00AF3657" w:rsidRPr="00CB5DD7" w:rsidRDefault="00AF3657" w:rsidP="005C43FF">
      <w:pPr>
        <w:pStyle w:val="Documentheading"/>
      </w:pPr>
    </w:p>
    <w:p w:rsidR="003744AE" w:rsidRPr="00CB5DD7" w:rsidRDefault="00170CA0" w:rsidP="003246A8">
      <w:pPr>
        <w:pStyle w:val="Header"/>
      </w:pPr>
      <w:r w:rsidRPr="00CB5DD7">
        <w:t>Commission Staff’s</w:t>
      </w:r>
      <w:r w:rsidR="00CB5DD7">
        <w:t xml:space="preserve"> replies to</w:t>
      </w:r>
      <w:r w:rsidR="0095647D" w:rsidRPr="00CB5DD7">
        <w:t xml:space="preserve"> </w:t>
      </w:r>
      <w:r w:rsidR="00EE6B01" w:rsidRPr="00CB5DD7">
        <w:t>Exceptions to the proposal for decision</w:t>
      </w:r>
    </w:p>
    <w:p w:rsidR="004B0517" w:rsidRPr="00CB5DD7" w:rsidRDefault="004B0517" w:rsidP="004B0517">
      <w:pPr>
        <w:pStyle w:val="NOINDENT"/>
      </w:pPr>
    </w:p>
    <w:p w:rsidR="004B0517" w:rsidRPr="00CB5DD7" w:rsidRDefault="004B0517" w:rsidP="004B0517">
      <w:pPr>
        <w:pStyle w:val="SignatureBlock"/>
        <w:ind w:firstLine="4320"/>
      </w:pPr>
      <w:r w:rsidRPr="00CB5DD7">
        <w:t>Respectfully Submitted,</w:t>
      </w:r>
    </w:p>
    <w:p w:rsidR="004B0517" w:rsidRPr="00CB5DD7" w:rsidRDefault="004B0517" w:rsidP="004B0517">
      <w:pPr>
        <w:pStyle w:val="SignatureBlock"/>
        <w:ind w:firstLine="4320"/>
      </w:pPr>
    </w:p>
    <w:p w:rsidR="004B0517" w:rsidRPr="00CB5DD7" w:rsidRDefault="004B0517" w:rsidP="004B0517">
      <w:pPr>
        <w:spacing w:after="0" w:line="240" w:lineRule="auto"/>
        <w:ind w:left="4320" w:firstLine="0"/>
        <w:contextualSpacing/>
        <w:outlineLvl w:val="9"/>
        <w:rPr>
          <w:b/>
        </w:rPr>
      </w:pPr>
      <w:r w:rsidRPr="00CB5DD7">
        <w:rPr>
          <w:b/>
        </w:rPr>
        <w:t>PUBLIC UTILITY COMMISSION OF TEXAS LEGAL DIVISION</w:t>
      </w:r>
    </w:p>
    <w:p w:rsidR="004B0517" w:rsidRPr="00CB5DD7" w:rsidRDefault="004B0517" w:rsidP="004B0517">
      <w:pPr>
        <w:pStyle w:val="SignatureBlock"/>
        <w:ind w:firstLine="4320"/>
      </w:pPr>
    </w:p>
    <w:p w:rsidR="004B0517" w:rsidRPr="00CB5DD7" w:rsidRDefault="004B0517" w:rsidP="004B0517">
      <w:pPr>
        <w:pStyle w:val="SignatureBlock"/>
        <w:ind w:firstLine="4320"/>
      </w:pPr>
      <w:r w:rsidRPr="00CB5DD7">
        <w:t>Margaret Uhlig Pemberton</w:t>
      </w:r>
    </w:p>
    <w:p w:rsidR="004B0517" w:rsidRPr="00CB5DD7" w:rsidRDefault="004B0517" w:rsidP="004B0517">
      <w:pPr>
        <w:pStyle w:val="SignatureBlock"/>
        <w:ind w:firstLine="4320"/>
      </w:pPr>
      <w:r w:rsidRPr="00CB5DD7">
        <w:t>Division Director</w:t>
      </w:r>
    </w:p>
    <w:p w:rsidR="004B0517" w:rsidRPr="00CB5DD7" w:rsidRDefault="004B0517" w:rsidP="004B0517">
      <w:pPr>
        <w:pStyle w:val="SignatureBlock"/>
        <w:ind w:firstLine="4320"/>
      </w:pPr>
    </w:p>
    <w:p w:rsidR="004B0517" w:rsidRPr="00CB5DD7" w:rsidRDefault="004B0517" w:rsidP="004B0517">
      <w:pPr>
        <w:pStyle w:val="SignatureBlock"/>
        <w:ind w:firstLine="4320"/>
      </w:pPr>
      <w:r w:rsidRPr="00CB5DD7">
        <w:t>Stephen Mack</w:t>
      </w:r>
    </w:p>
    <w:p w:rsidR="004B0517" w:rsidRPr="00CB5DD7" w:rsidRDefault="004B0517" w:rsidP="004B0517">
      <w:pPr>
        <w:pStyle w:val="SignatureBlock"/>
        <w:ind w:firstLine="4320"/>
      </w:pPr>
      <w:r w:rsidRPr="00CB5DD7">
        <w:t>Managing Attorney</w:t>
      </w:r>
    </w:p>
    <w:p w:rsidR="004B0517" w:rsidRPr="00CB5DD7" w:rsidRDefault="004B0517" w:rsidP="004B0517">
      <w:pPr>
        <w:pStyle w:val="SignatureBlock"/>
        <w:ind w:firstLine="4320"/>
      </w:pPr>
    </w:p>
    <w:p w:rsidR="004B0517" w:rsidRPr="00CB5DD7" w:rsidRDefault="004B0517" w:rsidP="004B0517">
      <w:pPr>
        <w:pStyle w:val="SignatureBlock"/>
        <w:ind w:firstLine="4320"/>
      </w:pPr>
    </w:p>
    <w:p w:rsidR="004B0517" w:rsidRPr="00CB5DD7" w:rsidRDefault="004B0517" w:rsidP="004B0517">
      <w:pPr>
        <w:pStyle w:val="SignatureBlock"/>
        <w:ind w:firstLine="4320"/>
      </w:pPr>
      <w:r w:rsidRPr="00CB5DD7">
        <w:t>______________________</w:t>
      </w:r>
    </w:p>
    <w:p w:rsidR="004B0517" w:rsidRPr="00CB5DD7" w:rsidRDefault="004B0517" w:rsidP="004B0517">
      <w:pPr>
        <w:spacing w:after="0" w:line="240" w:lineRule="auto"/>
        <w:ind w:firstLine="4320"/>
      </w:pPr>
      <w:r w:rsidRPr="00CB5DD7">
        <w:t>A. J. Smullen</w:t>
      </w:r>
    </w:p>
    <w:p w:rsidR="004B0517" w:rsidRPr="00CB5DD7" w:rsidRDefault="004B0517" w:rsidP="004B0517">
      <w:pPr>
        <w:spacing w:after="0" w:line="240" w:lineRule="auto"/>
        <w:ind w:firstLine="4320"/>
      </w:pPr>
      <w:r w:rsidRPr="00CB5DD7">
        <w:t>State Bar No. 24083881</w:t>
      </w:r>
    </w:p>
    <w:p w:rsidR="004B0517" w:rsidRPr="00CB5DD7" w:rsidRDefault="004B0517" w:rsidP="004B0517">
      <w:pPr>
        <w:spacing w:after="0" w:line="240" w:lineRule="auto"/>
        <w:ind w:firstLine="4320"/>
      </w:pPr>
      <w:r w:rsidRPr="00CB5DD7">
        <w:t>(512) 936-7289</w:t>
      </w:r>
    </w:p>
    <w:p w:rsidR="004B0517" w:rsidRPr="00860E99" w:rsidRDefault="00950C4F" w:rsidP="004B0517">
      <w:pPr>
        <w:spacing w:after="0" w:line="240" w:lineRule="auto"/>
        <w:ind w:firstLine="4320"/>
      </w:pPr>
      <w:hyperlink r:id="rId8" w:history="1">
        <w:r w:rsidR="004B0517" w:rsidRPr="00860E99">
          <w:rPr>
            <w:rStyle w:val="Hyperlink"/>
            <w:color w:val="auto"/>
            <w:u w:val="none"/>
          </w:rPr>
          <w:t>aj.smullen@puc.texas.gov</w:t>
        </w:r>
      </w:hyperlink>
    </w:p>
    <w:p w:rsidR="004B0517" w:rsidRPr="00CB5DD7" w:rsidRDefault="004B0517" w:rsidP="004B0517">
      <w:pPr>
        <w:spacing w:after="0" w:line="240" w:lineRule="auto"/>
        <w:ind w:firstLine="4320"/>
      </w:pPr>
      <w:r w:rsidRPr="00CB5DD7">
        <w:t>Erika N. Garcia</w:t>
      </w:r>
    </w:p>
    <w:p w:rsidR="004B0517" w:rsidRPr="00CB5DD7" w:rsidRDefault="004B0517" w:rsidP="004B0517">
      <w:pPr>
        <w:spacing w:after="0" w:line="240" w:lineRule="auto"/>
        <w:ind w:firstLine="4320"/>
      </w:pPr>
      <w:r w:rsidRPr="00CB5DD7">
        <w:t>State Bar No. 24092077</w:t>
      </w:r>
    </w:p>
    <w:p w:rsidR="004B0517" w:rsidRPr="00CB5DD7" w:rsidRDefault="004B0517" w:rsidP="004B0517">
      <w:pPr>
        <w:spacing w:after="0" w:line="240" w:lineRule="auto"/>
        <w:ind w:left="3600"/>
      </w:pPr>
      <w:r w:rsidRPr="00CB5DD7">
        <w:t>Alexander Petak</w:t>
      </w:r>
    </w:p>
    <w:p w:rsidR="004B0517" w:rsidRPr="00CB5DD7" w:rsidRDefault="004B0517" w:rsidP="004B0517">
      <w:pPr>
        <w:spacing w:after="0" w:line="240" w:lineRule="auto"/>
        <w:ind w:firstLine="4320"/>
      </w:pPr>
      <w:r w:rsidRPr="00CB5DD7">
        <w:t>State Bar No. 24088216</w:t>
      </w:r>
    </w:p>
    <w:p w:rsidR="004B0517" w:rsidRPr="00CB5DD7" w:rsidRDefault="004B0517" w:rsidP="004B0517">
      <w:pPr>
        <w:pStyle w:val="Normaldouble"/>
        <w:spacing w:after="0" w:line="240" w:lineRule="auto"/>
        <w:ind w:left="4320" w:firstLine="0"/>
      </w:pPr>
      <w:r w:rsidRPr="00CB5DD7">
        <w:t>Landon J. Lill</w:t>
      </w:r>
    </w:p>
    <w:p w:rsidR="004B0517" w:rsidRPr="00CB5DD7" w:rsidRDefault="004B0517" w:rsidP="004B0517">
      <w:pPr>
        <w:pStyle w:val="Normaldouble"/>
        <w:spacing w:after="0" w:line="240" w:lineRule="auto"/>
        <w:ind w:left="4320" w:firstLine="0"/>
      </w:pPr>
      <w:r w:rsidRPr="00CB5DD7">
        <w:t>State Bar No. 24092700</w:t>
      </w:r>
    </w:p>
    <w:p w:rsidR="004B0517" w:rsidRPr="00CB5DD7" w:rsidRDefault="004B0517" w:rsidP="004B0517">
      <w:pPr>
        <w:spacing w:after="0" w:line="240" w:lineRule="auto"/>
        <w:ind w:firstLine="4320"/>
      </w:pPr>
      <w:r w:rsidRPr="00CB5DD7">
        <w:t>1701 N. Congress Avenue</w:t>
      </w:r>
    </w:p>
    <w:p w:rsidR="004B0517" w:rsidRPr="00CB5DD7" w:rsidRDefault="004B0517" w:rsidP="004B0517">
      <w:pPr>
        <w:spacing w:after="0" w:line="240" w:lineRule="auto"/>
        <w:ind w:firstLine="4320"/>
      </w:pPr>
      <w:r w:rsidRPr="00CB5DD7">
        <w:t>P.O. Box 13326</w:t>
      </w:r>
    </w:p>
    <w:p w:rsidR="004B0517" w:rsidRPr="00CB5DD7" w:rsidRDefault="004B0517" w:rsidP="004B0517">
      <w:pPr>
        <w:spacing w:after="0" w:line="240" w:lineRule="auto"/>
        <w:ind w:firstLine="4320"/>
        <w:rPr>
          <w:b/>
        </w:rPr>
      </w:pPr>
      <w:r w:rsidRPr="00CB5DD7">
        <w:t>Austin, Texas 78712-3326</w:t>
      </w:r>
    </w:p>
    <w:p w:rsidR="004B0517" w:rsidRPr="00CB5DD7" w:rsidRDefault="004B0517" w:rsidP="004B0517">
      <w:pPr>
        <w:spacing w:after="0" w:line="240" w:lineRule="auto"/>
        <w:ind w:firstLine="4320"/>
      </w:pPr>
      <w:r w:rsidRPr="00CB5DD7">
        <w:t>(512) 936-7268 (facsimile)</w:t>
      </w:r>
    </w:p>
    <w:p w:rsidR="004B0517" w:rsidRPr="00CB5DD7" w:rsidRDefault="00CB5DD7" w:rsidP="00FF7AA5">
      <w:pPr>
        <w:pStyle w:val="NOINDENT"/>
      </w:pPr>
      <w:r>
        <w:t>October 30</w:t>
      </w:r>
      <w:r w:rsidR="00EE6B01" w:rsidRPr="00CB5DD7">
        <w:t>, 2017</w:t>
      </w:r>
      <w:r w:rsidR="004B0517" w:rsidRPr="00CB5DD7">
        <w:br w:type="page"/>
      </w:r>
    </w:p>
    <w:p w:rsidR="00915B45" w:rsidRPr="001C43F0" w:rsidRDefault="00915B45" w:rsidP="00915B45">
      <w:pPr>
        <w:pStyle w:val="DocketNo0"/>
        <w:rPr>
          <w:rFonts w:eastAsia="Calibri"/>
        </w:rPr>
      </w:pPr>
      <w:r w:rsidRPr="001C43F0">
        <w:rPr>
          <w:rFonts w:eastAsia="Calibri"/>
        </w:rPr>
        <w:lastRenderedPageBreak/>
        <w:t>PUC DOCKET NO. 46449</w:t>
      </w:r>
      <w:r w:rsidRPr="001C43F0">
        <w:rPr>
          <w:rFonts w:eastAsia="Calibri"/>
        </w:rPr>
        <w:br/>
        <w:t>SOAH DOCKET NO. 473-17-1764</w:t>
      </w:r>
    </w:p>
    <w:p w:rsidR="00915B45" w:rsidRPr="001C43F0" w:rsidRDefault="00915B45" w:rsidP="00915B45">
      <w:pPr>
        <w:pStyle w:val="DocketNo0"/>
      </w:pPr>
    </w:p>
    <w:tbl>
      <w:tblPr>
        <w:tblW w:w="10071" w:type="dxa"/>
        <w:tblLook w:val="01E0" w:firstRow="1" w:lastRow="1" w:firstColumn="1" w:lastColumn="1" w:noHBand="0" w:noVBand="0"/>
      </w:tblPr>
      <w:tblGrid>
        <w:gridCol w:w="4698"/>
        <w:gridCol w:w="630"/>
        <w:gridCol w:w="4743"/>
      </w:tblGrid>
      <w:tr w:rsidR="001C43F0" w:rsidRPr="001C43F0" w:rsidTr="00915B45">
        <w:tc>
          <w:tcPr>
            <w:tcW w:w="4698" w:type="dxa"/>
          </w:tcPr>
          <w:p w:rsidR="00915B45" w:rsidRPr="001C43F0" w:rsidRDefault="00915B45" w:rsidP="00915B45">
            <w:pPr>
              <w:pStyle w:val="CaseCaption"/>
              <w:jc w:val="left"/>
            </w:pPr>
            <w:r w:rsidRPr="001C43F0">
              <w:t>APPLICATION OF SOUTHWESTERN ELECTRIC POWER COMPANY FOR AUTHORITY TO CHANGE RATES</w:t>
            </w:r>
          </w:p>
        </w:tc>
        <w:tc>
          <w:tcPr>
            <w:tcW w:w="630" w:type="dxa"/>
          </w:tcPr>
          <w:p w:rsidR="00915B45" w:rsidRPr="001C43F0" w:rsidRDefault="00915B45" w:rsidP="00915B45">
            <w:pPr>
              <w:pStyle w:val="CaseCaption"/>
            </w:pPr>
            <w:r w:rsidRPr="001C43F0">
              <w:t>§</w:t>
            </w:r>
          </w:p>
          <w:p w:rsidR="00915B45" w:rsidRPr="001C43F0" w:rsidRDefault="00915B45" w:rsidP="00915B45">
            <w:pPr>
              <w:pStyle w:val="CaseCaption"/>
            </w:pPr>
            <w:r w:rsidRPr="001C43F0">
              <w:t>§</w:t>
            </w:r>
          </w:p>
          <w:p w:rsidR="00915B45" w:rsidRPr="001C43F0" w:rsidRDefault="00915B45" w:rsidP="00915B45">
            <w:pPr>
              <w:pStyle w:val="CaseCaption"/>
            </w:pPr>
            <w:r w:rsidRPr="001C43F0">
              <w:t>§</w:t>
            </w:r>
          </w:p>
          <w:p w:rsidR="00915B45" w:rsidRPr="001C43F0" w:rsidRDefault="00915B45" w:rsidP="00915B45">
            <w:pPr>
              <w:pStyle w:val="CaseCaption"/>
            </w:pPr>
            <w:r w:rsidRPr="001C43F0">
              <w:t>§</w:t>
            </w:r>
          </w:p>
          <w:p w:rsidR="00915B45" w:rsidRPr="001C43F0" w:rsidRDefault="00915B45" w:rsidP="00915B45">
            <w:pPr>
              <w:pStyle w:val="CaseCaption"/>
            </w:pPr>
          </w:p>
        </w:tc>
        <w:tc>
          <w:tcPr>
            <w:tcW w:w="4743" w:type="dxa"/>
          </w:tcPr>
          <w:p w:rsidR="00915B45" w:rsidRPr="001C43F0" w:rsidRDefault="00915B45" w:rsidP="00915B45">
            <w:pPr>
              <w:pStyle w:val="CaseCaption"/>
            </w:pPr>
            <w:r w:rsidRPr="001C43F0">
              <w:t>Public utility commission</w:t>
            </w:r>
          </w:p>
          <w:p w:rsidR="00915B45" w:rsidRPr="001C43F0" w:rsidRDefault="00915B45" w:rsidP="00915B45">
            <w:pPr>
              <w:pStyle w:val="CaseCaption"/>
            </w:pPr>
          </w:p>
          <w:p w:rsidR="00915B45" w:rsidRPr="001C43F0" w:rsidRDefault="00915B45" w:rsidP="00915B45">
            <w:pPr>
              <w:pStyle w:val="CaseCaption"/>
            </w:pPr>
            <w:r w:rsidRPr="001C43F0">
              <w:t>of texas</w:t>
            </w:r>
          </w:p>
        </w:tc>
      </w:tr>
    </w:tbl>
    <w:p w:rsidR="00915B45" w:rsidRPr="001C43F0" w:rsidRDefault="00915B45" w:rsidP="00915B45">
      <w:pPr>
        <w:pStyle w:val="Documentheading"/>
      </w:pPr>
    </w:p>
    <w:p w:rsidR="00915B45" w:rsidRPr="001C43F0" w:rsidRDefault="00915B45" w:rsidP="003246A8">
      <w:pPr>
        <w:pStyle w:val="Header"/>
      </w:pPr>
      <w:r w:rsidRPr="001C43F0">
        <w:t xml:space="preserve">Commission Staff’s </w:t>
      </w:r>
      <w:r w:rsidR="00CB5DD7" w:rsidRPr="001C43F0">
        <w:t xml:space="preserve">replies to </w:t>
      </w:r>
      <w:r w:rsidRPr="001C43F0">
        <w:t>Exceptions to the proposal for decision</w:t>
      </w:r>
    </w:p>
    <w:p w:rsidR="004B0517" w:rsidRPr="001C43F0" w:rsidRDefault="004B0517" w:rsidP="003246A8">
      <w:pPr>
        <w:pStyle w:val="Header"/>
      </w:pPr>
      <w:r w:rsidRPr="001C43F0">
        <w:t>table of contents</w:t>
      </w:r>
    </w:p>
    <w:p w:rsidR="00B67C72" w:rsidRDefault="004B0517">
      <w:pPr>
        <w:pStyle w:val="TOC1"/>
        <w:tabs>
          <w:tab w:val="right" w:leader="dot" w:pos="9350"/>
        </w:tabs>
        <w:rPr>
          <w:rFonts w:asciiTheme="minorHAnsi" w:eastAsiaTheme="minorEastAsia" w:hAnsiTheme="minorHAnsi" w:cstheme="minorBidi"/>
          <w:b w:val="0"/>
          <w:bCs w:val="0"/>
          <w:caps w:val="0"/>
          <w:noProof/>
        </w:rPr>
      </w:pPr>
      <w:r w:rsidRPr="0006160A">
        <w:fldChar w:fldCharType="begin"/>
      </w:r>
      <w:r w:rsidRPr="0006160A">
        <w:instrText xml:space="preserve"> TOC \o "1-3" \h \z \t "Heading 4,4" </w:instrText>
      </w:r>
      <w:r w:rsidRPr="0006160A">
        <w:fldChar w:fldCharType="separate"/>
      </w:r>
      <w:hyperlink w:anchor="_Toc496908570" w:history="1">
        <w:r w:rsidR="00B67C72" w:rsidRPr="00E463D1">
          <w:rPr>
            <w:rStyle w:val="Hyperlink"/>
            <w:noProof/>
          </w:rPr>
          <w:t>I. Introduction</w:t>
        </w:r>
        <w:r w:rsidR="00B67C72">
          <w:rPr>
            <w:noProof/>
            <w:webHidden/>
          </w:rPr>
          <w:tab/>
        </w:r>
        <w:r w:rsidR="00B67C72">
          <w:rPr>
            <w:noProof/>
            <w:webHidden/>
          </w:rPr>
          <w:fldChar w:fldCharType="begin"/>
        </w:r>
        <w:r w:rsidR="00B67C72">
          <w:rPr>
            <w:noProof/>
            <w:webHidden/>
          </w:rPr>
          <w:instrText xml:space="preserve"> PAGEREF _Toc496908570 \h </w:instrText>
        </w:r>
        <w:r w:rsidR="00B67C72">
          <w:rPr>
            <w:noProof/>
            <w:webHidden/>
          </w:rPr>
        </w:r>
        <w:r w:rsidR="00B67C72">
          <w:rPr>
            <w:noProof/>
            <w:webHidden/>
          </w:rPr>
          <w:fldChar w:fldCharType="separate"/>
        </w:r>
        <w:r w:rsidR="00404631">
          <w:rPr>
            <w:noProof/>
            <w:webHidden/>
          </w:rPr>
          <w:t>4</w:t>
        </w:r>
        <w:r w:rsidR="00B67C72">
          <w:rPr>
            <w:noProof/>
            <w:webHidden/>
          </w:rPr>
          <w:fldChar w:fldCharType="end"/>
        </w:r>
      </w:hyperlink>
    </w:p>
    <w:p w:rsidR="00B67C72" w:rsidRDefault="00950C4F">
      <w:pPr>
        <w:pStyle w:val="TOC1"/>
        <w:tabs>
          <w:tab w:val="right" w:leader="dot" w:pos="9350"/>
        </w:tabs>
        <w:rPr>
          <w:rFonts w:asciiTheme="minorHAnsi" w:eastAsiaTheme="minorEastAsia" w:hAnsiTheme="minorHAnsi" w:cstheme="minorBidi"/>
          <w:b w:val="0"/>
          <w:bCs w:val="0"/>
          <w:caps w:val="0"/>
          <w:noProof/>
        </w:rPr>
      </w:pPr>
      <w:hyperlink w:anchor="_Toc496908571" w:history="1">
        <w:r w:rsidR="00B67C72" w:rsidRPr="00E463D1">
          <w:rPr>
            <w:rStyle w:val="Hyperlink"/>
            <w:noProof/>
          </w:rPr>
          <w:t>V. Rate base</w:t>
        </w:r>
        <w:r w:rsidR="00B67C72">
          <w:rPr>
            <w:noProof/>
            <w:webHidden/>
          </w:rPr>
          <w:tab/>
        </w:r>
        <w:r w:rsidR="00B67C72">
          <w:rPr>
            <w:noProof/>
            <w:webHidden/>
          </w:rPr>
          <w:fldChar w:fldCharType="begin"/>
        </w:r>
        <w:r w:rsidR="00B67C72">
          <w:rPr>
            <w:noProof/>
            <w:webHidden/>
          </w:rPr>
          <w:instrText xml:space="preserve"> PAGEREF _Toc496908571 \h </w:instrText>
        </w:r>
        <w:r w:rsidR="00B67C72">
          <w:rPr>
            <w:noProof/>
            <w:webHidden/>
          </w:rPr>
        </w:r>
        <w:r w:rsidR="00B67C72">
          <w:rPr>
            <w:noProof/>
            <w:webHidden/>
          </w:rPr>
          <w:fldChar w:fldCharType="separate"/>
        </w:r>
        <w:r w:rsidR="00404631">
          <w:rPr>
            <w:noProof/>
            <w:webHidden/>
          </w:rPr>
          <w:t>5</w:t>
        </w:r>
        <w:r w:rsidR="00B67C72">
          <w:rPr>
            <w:noProof/>
            <w:webHidden/>
          </w:rPr>
          <w:fldChar w:fldCharType="end"/>
        </w:r>
      </w:hyperlink>
    </w:p>
    <w:p w:rsidR="00B67C72" w:rsidRDefault="00950C4F">
      <w:pPr>
        <w:pStyle w:val="TOC2"/>
        <w:rPr>
          <w:rFonts w:asciiTheme="minorHAnsi" w:eastAsiaTheme="minorEastAsia" w:hAnsiTheme="minorHAnsi" w:cstheme="minorBidi"/>
          <w:b w:val="0"/>
          <w:bCs w:val="0"/>
          <w:szCs w:val="24"/>
        </w:rPr>
      </w:pPr>
      <w:hyperlink w:anchor="_Toc496908572" w:history="1">
        <w:r w:rsidR="00B67C72" w:rsidRPr="00E463D1">
          <w:rPr>
            <w:rStyle w:val="Hyperlink"/>
          </w:rPr>
          <w:t>B.</w:t>
        </w:r>
        <w:r w:rsidR="00B67C72">
          <w:rPr>
            <w:rFonts w:asciiTheme="minorHAnsi" w:eastAsiaTheme="minorEastAsia" w:hAnsiTheme="minorHAnsi" w:cstheme="minorBidi"/>
            <w:b w:val="0"/>
            <w:bCs w:val="0"/>
            <w:szCs w:val="24"/>
          </w:rPr>
          <w:tab/>
        </w:r>
        <w:r w:rsidR="00B67C72" w:rsidRPr="00E463D1">
          <w:rPr>
            <w:rStyle w:val="Hyperlink"/>
          </w:rPr>
          <w:t>Welsh Unit 2 Retirement</w:t>
        </w:r>
        <w:r w:rsidR="00B67C72">
          <w:rPr>
            <w:webHidden/>
          </w:rPr>
          <w:tab/>
        </w:r>
        <w:r w:rsidR="00B67C72">
          <w:rPr>
            <w:webHidden/>
          </w:rPr>
          <w:fldChar w:fldCharType="begin"/>
        </w:r>
        <w:r w:rsidR="00B67C72">
          <w:rPr>
            <w:webHidden/>
          </w:rPr>
          <w:instrText xml:space="preserve"> PAGEREF _Toc496908572 \h </w:instrText>
        </w:r>
        <w:r w:rsidR="00B67C72">
          <w:rPr>
            <w:webHidden/>
          </w:rPr>
        </w:r>
        <w:r w:rsidR="00B67C72">
          <w:rPr>
            <w:webHidden/>
          </w:rPr>
          <w:fldChar w:fldCharType="separate"/>
        </w:r>
        <w:r w:rsidR="00404631">
          <w:rPr>
            <w:webHidden/>
          </w:rPr>
          <w:t>5</w:t>
        </w:r>
        <w:r w:rsidR="00B67C72">
          <w:rPr>
            <w:webHidden/>
          </w:rPr>
          <w:fldChar w:fldCharType="end"/>
        </w:r>
      </w:hyperlink>
    </w:p>
    <w:p w:rsidR="00B67C72" w:rsidRDefault="00950C4F">
      <w:pPr>
        <w:pStyle w:val="TOC2"/>
        <w:rPr>
          <w:rFonts w:asciiTheme="minorHAnsi" w:eastAsiaTheme="minorEastAsia" w:hAnsiTheme="minorHAnsi" w:cstheme="minorBidi"/>
          <w:b w:val="0"/>
          <w:bCs w:val="0"/>
          <w:szCs w:val="24"/>
        </w:rPr>
      </w:pPr>
      <w:hyperlink w:anchor="_Toc496908574" w:history="1">
        <w:r w:rsidR="00B67C72" w:rsidRPr="00E463D1">
          <w:rPr>
            <w:rStyle w:val="Hyperlink"/>
          </w:rPr>
          <w:t>C.</w:t>
        </w:r>
        <w:r w:rsidR="00B67C72">
          <w:rPr>
            <w:rFonts w:asciiTheme="minorHAnsi" w:eastAsiaTheme="minorEastAsia" w:hAnsiTheme="minorHAnsi" w:cstheme="minorBidi"/>
            <w:b w:val="0"/>
            <w:bCs w:val="0"/>
            <w:szCs w:val="24"/>
          </w:rPr>
          <w:tab/>
        </w:r>
        <w:r w:rsidR="00B67C72" w:rsidRPr="00E463D1">
          <w:rPr>
            <w:rStyle w:val="Hyperlink"/>
          </w:rPr>
          <w:t>Turk Power Plant Cost Cap</w:t>
        </w:r>
        <w:r w:rsidR="00B67C72">
          <w:rPr>
            <w:webHidden/>
          </w:rPr>
          <w:tab/>
        </w:r>
        <w:r w:rsidR="00B67C72">
          <w:rPr>
            <w:webHidden/>
          </w:rPr>
          <w:fldChar w:fldCharType="begin"/>
        </w:r>
        <w:r w:rsidR="00B67C72">
          <w:rPr>
            <w:webHidden/>
          </w:rPr>
          <w:instrText xml:space="preserve"> PAGEREF _Toc496908574 \h </w:instrText>
        </w:r>
        <w:r w:rsidR="00B67C72">
          <w:rPr>
            <w:webHidden/>
          </w:rPr>
        </w:r>
        <w:r w:rsidR="00B67C72">
          <w:rPr>
            <w:webHidden/>
          </w:rPr>
          <w:fldChar w:fldCharType="separate"/>
        </w:r>
        <w:r w:rsidR="00404631">
          <w:rPr>
            <w:webHidden/>
          </w:rPr>
          <w:t>9</w:t>
        </w:r>
        <w:r w:rsidR="00B67C72">
          <w:rPr>
            <w:webHidden/>
          </w:rPr>
          <w:fldChar w:fldCharType="end"/>
        </w:r>
      </w:hyperlink>
    </w:p>
    <w:p w:rsidR="00B67C72" w:rsidRDefault="00950C4F">
      <w:pPr>
        <w:pStyle w:val="TOC2"/>
        <w:rPr>
          <w:rFonts w:asciiTheme="minorHAnsi" w:eastAsiaTheme="minorEastAsia" w:hAnsiTheme="minorHAnsi" w:cstheme="minorBidi"/>
          <w:b w:val="0"/>
          <w:bCs w:val="0"/>
          <w:szCs w:val="24"/>
        </w:rPr>
      </w:pPr>
      <w:hyperlink w:anchor="_Toc496908575" w:history="1">
        <w:r w:rsidR="00B67C72" w:rsidRPr="00E463D1">
          <w:rPr>
            <w:rStyle w:val="Hyperlink"/>
          </w:rPr>
          <w:t>F.</w:t>
        </w:r>
        <w:r w:rsidR="00B67C72">
          <w:rPr>
            <w:rFonts w:asciiTheme="minorHAnsi" w:eastAsiaTheme="minorEastAsia" w:hAnsiTheme="minorHAnsi" w:cstheme="minorBidi"/>
            <w:b w:val="0"/>
            <w:bCs w:val="0"/>
            <w:szCs w:val="24"/>
          </w:rPr>
          <w:tab/>
        </w:r>
        <w:r w:rsidR="00B67C72" w:rsidRPr="00E463D1">
          <w:rPr>
            <w:rStyle w:val="Hyperlink"/>
          </w:rPr>
          <w:t>Treatment of Transmission Invested Capital</w:t>
        </w:r>
        <w:r w:rsidR="00B67C72">
          <w:rPr>
            <w:webHidden/>
          </w:rPr>
          <w:tab/>
        </w:r>
        <w:r w:rsidR="00B67C72">
          <w:rPr>
            <w:webHidden/>
          </w:rPr>
          <w:fldChar w:fldCharType="begin"/>
        </w:r>
        <w:r w:rsidR="00B67C72">
          <w:rPr>
            <w:webHidden/>
          </w:rPr>
          <w:instrText xml:space="preserve"> PAGEREF _Toc496908575 \h </w:instrText>
        </w:r>
        <w:r w:rsidR="00B67C72">
          <w:rPr>
            <w:webHidden/>
          </w:rPr>
        </w:r>
        <w:r w:rsidR="00B67C72">
          <w:rPr>
            <w:webHidden/>
          </w:rPr>
          <w:fldChar w:fldCharType="separate"/>
        </w:r>
        <w:r w:rsidR="00404631">
          <w:rPr>
            <w:webHidden/>
          </w:rPr>
          <w:t>9</w:t>
        </w:r>
        <w:r w:rsidR="00B67C72">
          <w:rPr>
            <w:webHidden/>
          </w:rPr>
          <w:fldChar w:fldCharType="end"/>
        </w:r>
      </w:hyperlink>
    </w:p>
    <w:p w:rsidR="00B67C72" w:rsidRDefault="00950C4F">
      <w:pPr>
        <w:pStyle w:val="TOC2"/>
        <w:rPr>
          <w:rFonts w:asciiTheme="minorHAnsi" w:eastAsiaTheme="minorEastAsia" w:hAnsiTheme="minorHAnsi" w:cstheme="minorBidi"/>
          <w:b w:val="0"/>
          <w:bCs w:val="0"/>
          <w:szCs w:val="24"/>
        </w:rPr>
      </w:pPr>
      <w:hyperlink w:anchor="_Toc496908576" w:history="1">
        <w:r w:rsidR="00B67C72" w:rsidRPr="00E463D1">
          <w:rPr>
            <w:rStyle w:val="Hyperlink"/>
          </w:rPr>
          <w:t>G.</w:t>
        </w:r>
        <w:r w:rsidR="00B67C72">
          <w:rPr>
            <w:rFonts w:asciiTheme="minorHAnsi" w:eastAsiaTheme="minorEastAsia" w:hAnsiTheme="minorHAnsi" w:cstheme="minorBidi"/>
            <w:b w:val="0"/>
            <w:bCs w:val="0"/>
            <w:szCs w:val="24"/>
          </w:rPr>
          <w:tab/>
        </w:r>
        <w:r w:rsidR="00B67C72" w:rsidRPr="00E463D1">
          <w:rPr>
            <w:rStyle w:val="Hyperlink"/>
          </w:rPr>
          <w:t>Transmission and Distribution Capital Projects</w:t>
        </w:r>
        <w:r w:rsidR="00B67C72">
          <w:rPr>
            <w:webHidden/>
          </w:rPr>
          <w:tab/>
        </w:r>
        <w:r w:rsidR="00B67C72">
          <w:rPr>
            <w:webHidden/>
          </w:rPr>
          <w:fldChar w:fldCharType="begin"/>
        </w:r>
        <w:r w:rsidR="00B67C72">
          <w:rPr>
            <w:webHidden/>
          </w:rPr>
          <w:instrText xml:space="preserve"> PAGEREF _Toc496908576 \h </w:instrText>
        </w:r>
        <w:r w:rsidR="00B67C72">
          <w:rPr>
            <w:webHidden/>
          </w:rPr>
        </w:r>
        <w:r w:rsidR="00B67C72">
          <w:rPr>
            <w:webHidden/>
          </w:rPr>
          <w:fldChar w:fldCharType="separate"/>
        </w:r>
        <w:r w:rsidR="00404631">
          <w:rPr>
            <w:webHidden/>
          </w:rPr>
          <w:t>11</w:t>
        </w:r>
        <w:r w:rsidR="00B67C72">
          <w:rPr>
            <w:webHidden/>
          </w:rPr>
          <w:fldChar w:fldCharType="end"/>
        </w:r>
      </w:hyperlink>
    </w:p>
    <w:p w:rsidR="00B67C72" w:rsidRDefault="00950C4F">
      <w:pPr>
        <w:pStyle w:val="TOC2"/>
        <w:rPr>
          <w:rFonts w:asciiTheme="minorHAnsi" w:eastAsiaTheme="minorEastAsia" w:hAnsiTheme="minorHAnsi" w:cstheme="minorBidi"/>
          <w:b w:val="0"/>
          <w:bCs w:val="0"/>
          <w:szCs w:val="24"/>
        </w:rPr>
      </w:pPr>
      <w:hyperlink w:anchor="_Toc496908578" w:history="1">
        <w:r w:rsidR="00B67C72" w:rsidRPr="00E463D1">
          <w:rPr>
            <w:rStyle w:val="Hyperlink"/>
          </w:rPr>
          <w:t>L.</w:t>
        </w:r>
        <w:r w:rsidR="00B67C72">
          <w:rPr>
            <w:rFonts w:asciiTheme="minorHAnsi" w:eastAsiaTheme="minorEastAsia" w:hAnsiTheme="minorHAnsi" w:cstheme="minorBidi"/>
            <w:b w:val="0"/>
            <w:bCs w:val="0"/>
            <w:szCs w:val="24"/>
          </w:rPr>
          <w:tab/>
        </w:r>
        <w:r w:rsidR="00B67C72" w:rsidRPr="00E463D1">
          <w:rPr>
            <w:rStyle w:val="Hyperlink"/>
          </w:rPr>
          <w:t>Cash Working Capital</w:t>
        </w:r>
        <w:r w:rsidR="00B67C72">
          <w:rPr>
            <w:webHidden/>
          </w:rPr>
          <w:tab/>
        </w:r>
        <w:r w:rsidR="00B67C72">
          <w:rPr>
            <w:webHidden/>
          </w:rPr>
          <w:fldChar w:fldCharType="begin"/>
        </w:r>
        <w:r w:rsidR="00B67C72">
          <w:rPr>
            <w:webHidden/>
          </w:rPr>
          <w:instrText xml:space="preserve"> PAGEREF _Toc496908578 \h </w:instrText>
        </w:r>
        <w:r w:rsidR="00B67C72">
          <w:rPr>
            <w:webHidden/>
          </w:rPr>
        </w:r>
        <w:r w:rsidR="00B67C72">
          <w:rPr>
            <w:webHidden/>
          </w:rPr>
          <w:fldChar w:fldCharType="separate"/>
        </w:r>
        <w:r w:rsidR="00404631">
          <w:rPr>
            <w:webHidden/>
          </w:rPr>
          <w:t>12</w:t>
        </w:r>
        <w:r w:rsidR="00B67C72">
          <w:rPr>
            <w:webHidden/>
          </w:rPr>
          <w:fldChar w:fldCharType="end"/>
        </w:r>
      </w:hyperlink>
    </w:p>
    <w:p w:rsidR="00B67C72" w:rsidRDefault="00950C4F">
      <w:pPr>
        <w:pStyle w:val="TOC1"/>
        <w:tabs>
          <w:tab w:val="right" w:leader="dot" w:pos="9350"/>
        </w:tabs>
        <w:rPr>
          <w:rFonts w:asciiTheme="minorHAnsi" w:eastAsiaTheme="minorEastAsia" w:hAnsiTheme="minorHAnsi" w:cstheme="minorBidi"/>
          <w:b w:val="0"/>
          <w:bCs w:val="0"/>
          <w:caps w:val="0"/>
          <w:noProof/>
        </w:rPr>
      </w:pPr>
      <w:hyperlink w:anchor="_Toc496908579" w:history="1">
        <w:r w:rsidR="00B67C72" w:rsidRPr="00E463D1">
          <w:rPr>
            <w:rStyle w:val="Hyperlink"/>
            <w:noProof/>
          </w:rPr>
          <w:t>VI. Rate of Return</w:t>
        </w:r>
        <w:r w:rsidR="00B67C72">
          <w:rPr>
            <w:noProof/>
            <w:webHidden/>
          </w:rPr>
          <w:tab/>
        </w:r>
        <w:r w:rsidR="00B67C72">
          <w:rPr>
            <w:noProof/>
            <w:webHidden/>
          </w:rPr>
          <w:fldChar w:fldCharType="begin"/>
        </w:r>
        <w:r w:rsidR="00B67C72">
          <w:rPr>
            <w:noProof/>
            <w:webHidden/>
          </w:rPr>
          <w:instrText xml:space="preserve"> PAGEREF _Toc496908579 \h </w:instrText>
        </w:r>
        <w:r w:rsidR="00B67C72">
          <w:rPr>
            <w:noProof/>
            <w:webHidden/>
          </w:rPr>
        </w:r>
        <w:r w:rsidR="00B67C72">
          <w:rPr>
            <w:noProof/>
            <w:webHidden/>
          </w:rPr>
          <w:fldChar w:fldCharType="separate"/>
        </w:r>
        <w:r w:rsidR="00404631">
          <w:rPr>
            <w:noProof/>
            <w:webHidden/>
          </w:rPr>
          <w:t>12</w:t>
        </w:r>
        <w:r w:rsidR="00B67C72">
          <w:rPr>
            <w:noProof/>
            <w:webHidden/>
          </w:rPr>
          <w:fldChar w:fldCharType="end"/>
        </w:r>
      </w:hyperlink>
    </w:p>
    <w:p w:rsidR="00B67C72" w:rsidRDefault="00950C4F">
      <w:pPr>
        <w:pStyle w:val="TOC2"/>
        <w:rPr>
          <w:rFonts w:asciiTheme="minorHAnsi" w:eastAsiaTheme="minorEastAsia" w:hAnsiTheme="minorHAnsi" w:cstheme="minorBidi"/>
          <w:b w:val="0"/>
          <w:bCs w:val="0"/>
          <w:szCs w:val="24"/>
        </w:rPr>
      </w:pPr>
      <w:hyperlink w:anchor="_Toc496908580" w:history="1">
        <w:r w:rsidR="00B67C72" w:rsidRPr="00E463D1">
          <w:rPr>
            <w:rStyle w:val="Hyperlink"/>
          </w:rPr>
          <w:t>A.</w:t>
        </w:r>
        <w:r w:rsidR="00B67C72">
          <w:rPr>
            <w:rFonts w:asciiTheme="minorHAnsi" w:eastAsiaTheme="minorEastAsia" w:hAnsiTheme="minorHAnsi" w:cstheme="minorBidi"/>
            <w:b w:val="0"/>
            <w:bCs w:val="0"/>
            <w:szCs w:val="24"/>
          </w:rPr>
          <w:tab/>
        </w:r>
        <w:r w:rsidR="00B67C72" w:rsidRPr="00E463D1">
          <w:rPr>
            <w:rStyle w:val="Hyperlink"/>
          </w:rPr>
          <w:t>Return on Equity</w:t>
        </w:r>
        <w:r w:rsidR="00B67C72">
          <w:rPr>
            <w:webHidden/>
          </w:rPr>
          <w:tab/>
        </w:r>
        <w:r w:rsidR="00B67C72">
          <w:rPr>
            <w:webHidden/>
          </w:rPr>
          <w:fldChar w:fldCharType="begin"/>
        </w:r>
        <w:r w:rsidR="00B67C72">
          <w:rPr>
            <w:webHidden/>
          </w:rPr>
          <w:instrText xml:space="preserve"> PAGEREF _Toc496908580 \h </w:instrText>
        </w:r>
        <w:r w:rsidR="00B67C72">
          <w:rPr>
            <w:webHidden/>
          </w:rPr>
        </w:r>
        <w:r w:rsidR="00B67C72">
          <w:rPr>
            <w:webHidden/>
          </w:rPr>
          <w:fldChar w:fldCharType="separate"/>
        </w:r>
        <w:r w:rsidR="00404631">
          <w:rPr>
            <w:webHidden/>
          </w:rPr>
          <w:t>12</w:t>
        </w:r>
        <w:r w:rsidR="00B67C72">
          <w:rPr>
            <w:webHidden/>
          </w:rPr>
          <w:fldChar w:fldCharType="end"/>
        </w:r>
      </w:hyperlink>
    </w:p>
    <w:p w:rsidR="00B67C72" w:rsidRDefault="00950C4F">
      <w:pPr>
        <w:pStyle w:val="TOC1"/>
        <w:tabs>
          <w:tab w:val="right" w:leader="dot" w:pos="9350"/>
        </w:tabs>
        <w:rPr>
          <w:rFonts w:asciiTheme="minorHAnsi" w:eastAsiaTheme="minorEastAsia" w:hAnsiTheme="minorHAnsi" w:cstheme="minorBidi"/>
          <w:b w:val="0"/>
          <w:bCs w:val="0"/>
          <w:caps w:val="0"/>
          <w:noProof/>
        </w:rPr>
      </w:pPr>
      <w:hyperlink w:anchor="_Toc496908581" w:history="1">
        <w:r w:rsidR="00B67C72" w:rsidRPr="00E463D1">
          <w:rPr>
            <w:rStyle w:val="Hyperlink"/>
            <w:noProof/>
          </w:rPr>
          <w:t>VII. Operating &amp; Maintenance Expenses</w:t>
        </w:r>
        <w:r w:rsidR="00B67C72">
          <w:rPr>
            <w:noProof/>
            <w:webHidden/>
          </w:rPr>
          <w:tab/>
        </w:r>
        <w:r w:rsidR="00B67C72">
          <w:rPr>
            <w:noProof/>
            <w:webHidden/>
          </w:rPr>
          <w:fldChar w:fldCharType="begin"/>
        </w:r>
        <w:r w:rsidR="00B67C72">
          <w:rPr>
            <w:noProof/>
            <w:webHidden/>
          </w:rPr>
          <w:instrText xml:space="preserve"> PAGEREF _Toc496908581 \h </w:instrText>
        </w:r>
        <w:r w:rsidR="00B67C72">
          <w:rPr>
            <w:noProof/>
            <w:webHidden/>
          </w:rPr>
        </w:r>
        <w:r w:rsidR="00B67C72">
          <w:rPr>
            <w:noProof/>
            <w:webHidden/>
          </w:rPr>
          <w:fldChar w:fldCharType="separate"/>
        </w:r>
        <w:r w:rsidR="00404631">
          <w:rPr>
            <w:noProof/>
            <w:webHidden/>
          </w:rPr>
          <w:t>14</w:t>
        </w:r>
        <w:r w:rsidR="00B67C72">
          <w:rPr>
            <w:noProof/>
            <w:webHidden/>
          </w:rPr>
          <w:fldChar w:fldCharType="end"/>
        </w:r>
      </w:hyperlink>
    </w:p>
    <w:p w:rsidR="00B67C72" w:rsidRDefault="00950C4F">
      <w:pPr>
        <w:pStyle w:val="TOC2"/>
        <w:rPr>
          <w:rFonts w:asciiTheme="minorHAnsi" w:eastAsiaTheme="minorEastAsia" w:hAnsiTheme="minorHAnsi" w:cstheme="minorBidi"/>
          <w:b w:val="0"/>
          <w:bCs w:val="0"/>
          <w:szCs w:val="24"/>
        </w:rPr>
      </w:pPr>
      <w:hyperlink w:anchor="_Toc496908582" w:history="1">
        <w:r w:rsidR="00B67C72" w:rsidRPr="00E463D1">
          <w:rPr>
            <w:rStyle w:val="Hyperlink"/>
          </w:rPr>
          <w:t>A.</w:t>
        </w:r>
        <w:r w:rsidR="00B67C72">
          <w:rPr>
            <w:rFonts w:asciiTheme="minorHAnsi" w:eastAsiaTheme="minorEastAsia" w:hAnsiTheme="minorHAnsi" w:cstheme="minorBidi"/>
            <w:b w:val="0"/>
            <w:bCs w:val="0"/>
            <w:szCs w:val="24"/>
          </w:rPr>
          <w:tab/>
        </w:r>
        <w:r w:rsidR="00B67C72" w:rsidRPr="00E463D1">
          <w:rPr>
            <w:rStyle w:val="Hyperlink"/>
          </w:rPr>
          <w:t>Welsh Unit 2 O&amp;M</w:t>
        </w:r>
        <w:r w:rsidR="00B67C72">
          <w:rPr>
            <w:webHidden/>
          </w:rPr>
          <w:tab/>
        </w:r>
        <w:r w:rsidR="00B67C72">
          <w:rPr>
            <w:webHidden/>
          </w:rPr>
          <w:fldChar w:fldCharType="begin"/>
        </w:r>
        <w:r w:rsidR="00B67C72">
          <w:rPr>
            <w:webHidden/>
          </w:rPr>
          <w:instrText xml:space="preserve"> PAGEREF _Toc496908582 \h </w:instrText>
        </w:r>
        <w:r w:rsidR="00B67C72">
          <w:rPr>
            <w:webHidden/>
          </w:rPr>
        </w:r>
        <w:r w:rsidR="00B67C72">
          <w:rPr>
            <w:webHidden/>
          </w:rPr>
          <w:fldChar w:fldCharType="separate"/>
        </w:r>
        <w:r w:rsidR="00404631">
          <w:rPr>
            <w:webHidden/>
          </w:rPr>
          <w:t>14</w:t>
        </w:r>
        <w:r w:rsidR="00B67C72">
          <w:rPr>
            <w:webHidden/>
          </w:rPr>
          <w:fldChar w:fldCharType="end"/>
        </w:r>
      </w:hyperlink>
    </w:p>
    <w:p w:rsidR="00B67C72" w:rsidRDefault="00950C4F">
      <w:pPr>
        <w:pStyle w:val="TOC2"/>
        <w:rPr>
          <w:rFonts w:asciiTheme="minorHAnsi" w:eastAsiaTheme="minorEastAsia" w:hAnsiTheme="minorHAnsi" w:cstheme="minorBidi"/>
          <w:b w:val="0"/>
          <w:bCs w:val="0"/>
          <w:szCs w:val="24"/>
        </w:rPr>
      </w:pPr>
      <w:hyperlink w:anchor="_Toc496908583" w:history="1">
        <w:r w:rsidR="00B67C72" w:rsidRPr="00E463D1">
          <w:rPr>
            <w:rStyle w:val="Hyperlink"/>
          </w:rPr>
          <w:t>E.</w:t>
        </w:r>
        <w:r w:rsidR="00B67C72">
          <w:rPr>
            <w:rFonts w:asciiTheme="minorHAnsi" w:eastAsiaTheme="minorEastAsia" w:hAnsiTheme="minorHAnsi" w:cstheme="minorBidi"/>
            <w:b w:val="0"/>
            <w:bCs w:val="0"/>
            <w:szCs w:val="24"/>
          </w:rPr>
          <w:tab/>
        </w:r>
        <w:r w:rsidR="00B67C72" w:rsidRPr="00E463D1">
          <w:rPr>
            <w:rStyle w:val="Hyperlink"/>
          </w:rPr>
          <w:t>Incentive Compensation</w:t>
        </w:r>
        <w:r w:rsidR="00B67C72">
          <w:rPr>
            <w:webHidden/>
          </w:rPr>
          <w:tab/>
        </w:r>
        <w:r w:rsidR="00B67C72">
          <w:rPr>
            <w:webHidden/>
          </w:rPr>
          <w:fldChar w:fldCharType="begin"/>
        </w:r>
        <w:r w:rsidR="00B67C72">
          <w:rPr>
            <w:webHidden/>
          </w:rPr>
          <w:instrText xml:space="preserve"> PAGEREF _Toc496908583 \h </w:instrText>
        </w:r>
        <w:r w:rsidR="00B67C72">
          <w:rPr>
            <w:webHidden/>
          </w:rPr>
        </w:r>
        <w:r w:rsidR="00B67C72">
          <w:rPr>
            <w:webHidden/>
          </w:rPr>
          <w:fldChar w:fldCharType="separate"/>
        </w:r>
        <w:r w:rsidR="00404631">
          <w:rPr>
            <w:webHidden/>
          </w:rPr>
          <w:t>15</w:t>
        </w:r>
        <w:r w:rsidR="00B67C72">
          <w:rPr>
            <w:webHidden/>
          </w:rPr>
          <w:fldChar w:fldCharType="end"/>
        </w:r>
      </w:hyperlink>
    </w:p>
    <w:p w:rsidR="00B67C72" w:rsidRDefault="00950C4F">
      <w:pPr>
        <w:pStyle w:val="TOC2"/>
        <w:rPr>
          <w:rFonts w:asciiTheme="minorHAnsi" w:eastAsiaTheme="minorEastAsia" w:hAnsiTheme="minorHAnsi" w:cstheme="minorBidi"/>
          <w:b w:val="0"/>
          <w:bCs w:val="0"/>
          <w:szCs w:val="24"/>
        </w:rPr>
      </w:pPr>
      <w:hyperlink w:anchor="_Toc496908584" w:history="1">
        <w:r w:rsidR="00B67C72" w:rsidRPr="00E463D1">
          <w:rPr>
            <w:rStyle w:val="Hyperlink"/>
          </w:rPr>
          <w:t>J.</w:t>
        </w:r>
        <w:r w:rsidR="00B67C72">
          <w:rPr>
            <w:rFonts w:asciiTheme="minorHAnsi" w:eastAsiaTheme="minorEastAsia" w:hAnsiTheme="minorHAnsi" w:cstheme="minorBidi"/>
            <w:b w:val="0"/>
            <w:bCs w:val="0"/>
            <w:szCs w:val="24"/>
          </w:rPr>
          <w:tab/>
        </w:r>
        <w:r w:rsidR="00B67C72" w:rsidRPr="00E463D1">
          <w:rPr>
            <w:rStyle w:val="Hyperlink"/>
          </w:rPr>
          <w:t>Affiliate Charges</w:t>
        </w:r>
        <w:r w:rsidR="00B67C72">
          <w:rPr>
            <w:webHidden/>
          </w:rPr>
          <w:tab/>
        </w:r>
        <w:r w:rsidR="00B67C72">
          <w:rPr>
            <w:webHidden/>
          </w:rPr>
          <w:fldChar w:fldCharType="begin"/>
        </w:r>
        <w:r w:rsidR="00B67C72">
          <w:rPr>
            <w:webHidden/>
          </w:rPr>
          <w:instrText xml:space="preserve"> PAGEREF _Toc496908584 \h </w:instrText>
        </w:r>
        <w:r w:rsidR="00B67C72">
          <w:rPr>
            <w:webHidden/>
          </w:rPr>
        </w:r>
        <w:r w:rsidR="00B67C72">
          <w:rPr>
            <w:webHidden/>
          </w:rPr>
          <w:fldChar w:fldCharType="separate"/>
        </w:r>
        <w:r w:rsidR="00404631">
          <w:rPr>
            <w:webHidden/>
          </w:rPr>
          <w:t>15</w:t>
        </w:r>
        <w:r w:rsidR="00B67C72">
          <w:rPr>
            <w:webHidden/>
          </w:rPr>
          <w:fldChar w:fldCharType="end"/>
        </w:r>
      </w:hyperlink>
    </w:p>
    <w:p w:rsidR="00B67C72" w:rsidRDefault="00950C4F">
      <w:pPr>
        <w:pStyle w:val="TOC2"/>
        <w:rPr>
          <w:rFonts w:asciiTheme="minorHAnsi" w:eastAsiaTheme="minorEastAsia" w:hAnsiTheme="minorHAnsi" w:cstheme="minorBidi"/>
          <w:b w:val="0"/>
          <w:bCs w:val="0"/>
          <w:szCs w:val="24"/>
        </w:rPr>
      </w:pPr>
      <w:hyperlink w:anchor="_Toc496908585" w:history="1">
        <w:r w:rsidR="00B67C72" w:rsidRPr="00E463D1">
          <w:rPr>
            <w:rStyle w:val="Hyperlink"/>
          </w:rPr>
          <w:t>K.</w:t>
        </w:r>
        <w:r w:rsidR="00B67C72">
          <w:rPr>
            <w:rFonts w:asciiTheme="minorHAnsi" w:eastAsiaTheme="minorEastAsia" w:hAnsiTheme="minorHAnsi" w:cstheme="minorBidi"/>
            <w:b w:val="0"/>
            <w:bCs w:val="0"/>
            <w:szCs w:val="24"/>
          </w:rPr>
          <w:tab/>
        </w:r>
        <w:r w:rsidR="00B67C72" w:rsidRPr="00E463D1">
          <w:rPr>
            <w:rStyle w:val="Hyperlink"/>
          </w:rPr>
          <w:t>Injuries and Damages</w:t>
        </w:r>
        <w:r w:rsidR="00B67C72">
          <w:rPr>
            <w:webHidden/>
          </w:rPr>
          <w:tab/>
        </w:r>
        <w:r w:rsidR="00B67C72">
          <w:rPr>
            <w:webHidden/>
          </w:rPr>
          <w:fldChar w:fldCharType="begin"/>
        </w:r>
        <w:r w:rsidR="00B67C72">
          <w:rPr>
            <w:webHidden/>
          </w:rPr>
          <w:instrText xml:space="preserve"> PAGEREF _Toc496908585 \h </w:instrText>
        </w:r>
        <w:r w:rsidR="00B67C72">
          <w:rPr>
            <w:webHidden/>
          </w:rPr>
        </w:r>
        <w:r w:rsidR="00B67C72">
          <w:rPr>
            <w:webHidden/>
          </w:rPr>
          <w:fldChar w:fldCharType="separate"/>
        </w:r>
        <w:r w:rsidR="00404631">
          <w:rPr>
            <w:webHidden/>
          </w:rPr>
          <w:t>16</w:t>
        </w:r>
        <w:r w:rsidR="00B67C72">
          <w:rPr>
            <w:webHidden/>
          </w:rPr>
          <w:fldChar w:fldCharType="end"/>
        </w:r>
      </w:hyperlink>
    </w:p>
    <w:p w:rsidR="00B67C72" w:rsidRDefault="00950C4F">
      <w:pPr>
        <w:pStyle w:val="TOC1"/>
        <w:tabs>
          <w:tab w:val="right" w:leader="dot" w:pos="9350"/>
        </w:tabs>
        <w:rPr>
          <w:rFonts w:asciiTheme="minorHAnsi" w:eastAsiaTheme="minorEastAsia" w:hAnsiTheme="minorHAnsi" w:cstheme="minorBidi"/>
          <w:b w:val="0"/>
          <w:bCs w:val="0"/>
          <w:caps w:val="0"/>
          <w:noProof/>
        </w:rPr>
      </w:pPr>
      <w:hyperlink w:anchor="_Toc496908586" w:history="1">
        <w:r w:rsidR="00B67C72" w:rsidRPr="00E463D1">
          <w:rPr>
            <w:rStyle w:val="Hyperlink"/>
            <w:noProof/>
          </w:rPr>
          <w:t>VIII. Weather normalization</w:t>
        </w:r>
        <w:r w:rsidR="00B67C72">
          <w:rPr>
            <w:noProof/>
            <w:webHidden/>
          </w:rPr>
          <w:tab/>
        </w:r>
        <w:r w:rsidR="00B67C72">
          <w:rPr>
            <w:noProof/>
            <w:webHidden/>
          </w:rPr>
          <w:fldChar w:fldCharType="begin"/>
        </w:r>
        <w:r w:rsidR="00B67C72">
          <w:rPr>
            <w:noProof/>
            <w:webHidden/>
          </w:rPr>
          <w:instrText xml:space="preserve"> PAGEREF _Toc496908586 \h </w:instrText>
        </w:r>
        <w:r w:rsidR="00B67C72">
          <w:rPr>
            <w:noProof/>
            <w:webHidden/>
          </w:rPr>
        </w:r>
        <w:r w:rsidR="00B67C72">
          <w:rPr>
            <w:noProof/>
            <w:webHidden/>
          </w:rPr>
          <w:fldChar w:fldCharType="separate"/>
        </w:r>
        <w:r w:rsidR="00404631">
          <w:rPr>
            <w:noProof/>
            <w:webHidden/>
          </w:rPr>
          <w:t>16</w:t>
        </w:r>
        <w:r w:rsidR="00B67C72">
          <w:rPr>
            <w:noProof/>
            <w:webHidden/>
          </w:rPr>
          <w:fldChar w:fldCharType="end"/>
        </w:r>
      </w:hyperlink>
    </w:p>
    <w:p w:rsidR="00B67C72" w:rsidRDefault="00950C4F">
      <w:pPr>
        <w:pStyle w:val="TOC1"/>
        <w:tabs>
          <w:tab w:val="right" w:leader="dot" w:pos="9350"/>
        </w:tabs>
        <w:rPr>
          <w:rFonts w:asciiTheme="minorHAnsi" w:eastAsiaTheme="minorEastAsia" w:hAnsiTheme="minorHAnsi" w:cstheme="minorBidi"/>
          <w:b w:val="0"/>
          <w:bCs w:val="0"/>
          <w:caps w:val="0"/>
          <w:noProof/>
        </w:rPr>
      </w:pPr>
      <w:hyperlink w:anchor="_Toc496908587" w:history="1">
        <w:r w:rsidR="00B67C72" w:rsidRPr="00E463D1">
          <w:rPr>
            <w:rStyle w:val="Hyperlink"/>
            <w:noProof/>
          </w:rPr>
          <w:t>X. Cost Allocation</w:t>
        </w:r>
        <w:r w:rsidR="00B67C72">
          <w:rPr>
            <w:noProof/>
            <w:webHidden/>
          </w:rPr>
          <w:tab/>
        </w:r>
        <w:r w:rsidR="00B67C72">
          <w:rPr>
            <w:noProof/>
            <w:webHidden/>
          </w:rPr>
          <w:fldChar w:fldCharType="begin"/>
        </w:r>
        <w:r w:rsidR="00B67C72">
          <w:rPr>
            <w:noProof/>
            <w:webHidden/>
          </w:rPr>
          <w:instrText xml:space="preserve"> PAGEREF _Toc496908587 \h </w:instrText>
        </w:r>
        <w:r w:rsidR="00B67C72">
          <w:rPr>
            <w:noProof/>
            <w:webHidden/>
          </w:rPr>
        </w:r>
        <w:r w:rsidR="00B67C72">
          <w:rPr>
            <w:noProof/>
            <w:webHidden/>
          </w:rPr>
          <w:fldChar w:fldCharType="separate"/>
        </w:r>
        <w:r w:rsidR="00404631">
          <w:rPr>
            <w:noProof/>
            <w:webHidden/>
          </w:rPr>
          <w:t>17</w:t>
        </w:r>
        <w:r w:rsidR="00B67C72">
          <w:rPr>
            <w:noProof/>
            <w:webHidden/>
          </w:rPr>
          <w:fldChar w:fldCharType="end"/>
        </w:r>
      </w:hyperlink>
    </w:p>
    <w:p w:rsidR="00B67C72" w:rsidRDefault="00950C4F">
      <w:pPr>
        <w:pStyle w:val="TOC2"/>
        <w:rPr>
          <w:rFonts w:asciiTheme="minorHAnsi" w:eastAsiaTheme="minorEastAsia" w:hAnsiTheme="minorHAnsi" w:cstheme="minorBidi"/>
          <w:b w:val="0"/>
          <w:bCs w:val="0"/>
          <w:szCs w:val="24"/>
        </w:rPr>
      </w:pPr>
      <w:hyperlink w:anchor="_Toc496908588" w:history="1">
        <w:r w:rsidR="00B67C72" w:rsidRPr="00E463D1">
          <w:rPr>
            <w:rStyle w:val="Hyperlink"/>
          </w:rPr>
          <w:t>A.</w:t>
        </w:r>
        <w:r w:rsidR="00B67C72">
          <w:rPr>
            <w:rFonts w:asciiTheme="minorHAnsi" w:eastAsiaTheme="minorEastAsia" w:hAnsiTheme="minorHAnsi" w:cstheme="minorBidi"/>
            <w:b w:val="0"/>
            <w:bCs w:val="0"/>
            <w:szCs w:val="24"/>
          </w:rPr>
          <w:tab/>
        </w:r>
        <w:r w:rsidR="00B67C72" w:rsidRPr="00E463D1">
          <w:rPr>
            <w:rStyle w:val="Hyperlink"/>
          </w:rPr>
          <w:t>Class Allocation of Production Costs</w:t>
        </w:r>
        <w:r w:rsidR="00B67C72">
          <w:rPr>
            <w:webHidden/>
          </w:rPr>
          <w:tab/>
        </w:r>
        <w:r w:rsidR="00B67C72">
          <w:rPr>
            <w:webHidden/>
          </w:rPr>
          <w:fldChar w:fldCharType="begin"/>
        </w:r>
        <w:r w:rsidR="00B67C72">
          <w:rPr>
            <w:webHidden/>
          </w:rPr>
          <w:instrText xml:space="preserve"> PAGEREF _Toc496908588 \h </w:instrText>
        </w:r>
        <w:r w:rsidR="00B67C72">
          <w:rPr>
            <w:webHidden/>
          </w:rPr>
        </w:r>
        <w:r w:rsidR="00B67C72">
          <w:rPr>
            <w:webHidden/>
          </w:rPr>
          <w:fldChar w:fldCharType="separate"/>
        </w:r>
        <w:r w:rsidR="00404631">
          <w:rPr>
            <w:webHidden/>
          </w:rPr>
          <w:t>17</w:t>
        </w:r>
        <w:r w:rsidR="00B67C72">
          <w:rPr>
            <w:webHidden/>
          </w:rPr>
          <w:fldChar w:fldCharType="end"/>
        </w:r>
      </w:hyperlink>
    </w:p>
    <w:p w:rsidR="00B67C72" w:rsidRDefault="00950C4F">
      <w:pPr>
        <w:pStyle w:val="TOC2"/>
        <w:rPr>
          <w:rFonts w:asciiTheme="minorHAnsi" w:eastAsiaTheme="minorEastAsia" w:hAnsiTheme="minorHAnsi" w:cstheme="minorBidi"/>
          <w:b w:val="0"/>
          <w:bCs w:val="0"/>
          <w:szCs w:val="24"/>
        </w:rPr>
      </w:pPr>
      <w:hyperlink w:anchor="_Toc496908589" w:history="1">
        <w:r w:rsidR="00B67C72" w:rsidRPr="00E463D1">
          <w:rPr>
            <w:rStyle w:val="Hyperlink"/>
          </w:rPr>
          <w:t>B.</w:t>
        </w:r>
        <w:r w:rsidR="00B67C72">
          <w:rPr>
            <w:rFonts w:asciiTheme="minorHAnsi" w:eastAsiaTheme="minorEastAsia" w:hAnsiTheme="minorHAnsi" w:cstheme="minorBidi"/>
            <w:b w:val="0"/>
            <w:bCs w:val="0"/>
            <w:szCs w:val="24"/>
          </w:rPr>
          <w:tab/>
        </w:r>
        <w:r w:rsidR="00B67C72" w:rsidRPr="00E463D1">
          <w:rPr>
            <w:rStyle w:val="Hyperlink"/>
          </w:rPr>
          <w:t>Class Allocation of Transmission Costs</w:t>
        </w:r>
        <w:r w:rsidR="00B67C72">
          <w:rPr>
            <w:webHidden/>
          </w:rPr>
          <w:tab/>
        </w:r>
        <w:r w:rsidR="00B67C72">
          <w:rPr>
            <w:webHidden/>
          </w:rPr>
          <w:fldChar w:fldCharType="begin"/>
        </w:r>
        <w:r w:rsidR="00B67C72">
          <w:rPr>
            <w:webHidden/>
          </w:rPr>
          <w:instrText xml:space="preserve"> PAGEREF _Toc496908589 \h </w:instrText>
        </w:r>
        <w:r w:rsidR="00B67C72">
          <w:rPr>
            <w:webHidden/>
          </w:rPr>
        </w:r>
        <w:r w:rsidR="00B67C72">
          <w:rPr>
            <w:webHidden/>
          </w:rPr>
          <w:fldChar w:fldCharType="separate"/>
        </w:r>
        <w:r w:rsidR="00404631">
          <w:rPr>
            <w:webHidden/>
          </w:rPr>
          <w:t>19</w:t>
        </w:r>
        <w:r w:rsidR="00B67C72">
          <w:rPr>
            <w:webHidden/>
          </w:rPr>
          <w:fldChar w:fldCharType="end"/>
        </w:r>
      </w:hyperlink>
    </w:p>
    <w:p w:rsidR="00B67C72" w:rsidRDefault="00950C4F">
      <w:pPr>
        <w:pStyle w:val="TOC1"/>
        <w:tabs>
          <w:tab w:val="right" w:leader="dot" w:pos="9350"/>
        </w:tabs>
        <w:rPr>
          <w:rFonts w:asciiTheme="minorHAnsi" w:eastAsiaTheme="minorEastAsia" w:hAnsiTheme="minorHAnsi" w:cstheme="minorBidi"/>
          <w:b w:val="0"/>
          <w:bCs w:val="0"/>
          <w:caps w:val="0"/>
          <w:noProof/>
        </w:rPr>
      </w:pPr>
      <w:hyperlink w:anchor="_Toc496908590" w:history="1">
        <w:r w:rsidR="00B67C72" w:rsidRPr="00E463D1">
          <w:rPr>
            <w:rStyle w:val="Hyperlink"/>
            <w:noProof/>
          </w:rPr>
          <w:t>XI. Revenue Distribution and Rate Design</w:t>
        </w:r>
        <w:r w:rsidR="00B67C72">
          <w:rPr>
            <w:noProof/>
            <w:webHidden/>
          </w:rPr>
          <w:tab/>
        </w:r>
        <w:r w:rsidR="00B67C72">
          <w:rPr>
            <w:noProof/>
            <w:webHidden/>
          </w:rPr>
          <w:fldChar w:fldCharType="begin"/>
        </w:r>
        <w:r w:rsidR="00B67C72">
          <w:rPr>
            <w:noProof/>
            <w:webHidden/>
          </w:rPr>
          <w:instrText xml:space="preserve"> PAGEREF _Toc496908590 \h </w:instrText>
        </w:r>
        <w:r w:rsidR="00B67C72">
          <w:rPr>
            <w:noProof/>
            <w:webHidden/>
          </w:rPr>
        </w:r>
        <w:r w:rsidR="00B67C72">
          <w:rPr>
            <w:noProof/>
            <w:webHidden/>
          </w:rPr>
          <w:fldChar w:fldCharType="separate"/>
        </w:r>
        <w:r w:rsidR="00404631">
          <w:rPr>
            <w:noProof/>
            <w:webHidden/>
          </w:rPr>
          <w:t>20</w:t>
        </w:r>
        <w:r w:rsidR="00B67C72">
          <w:rPr>
            <w:noProof/>
            <w:webHidden/>
          </w:rPr>
          <w:fldChar w:fldCharType="end"/>
        </w:r>
      </w:hyperlink>
    </w:p>
    <w:p w:rsidR="00B67C72" w:rsidRDefault="00950C4F">
      <w:pPr>
        <w:pStyle w:val="TOC2"/>
        <w:rPr>
          <w:rFonts w:asciiTheme="minorHAnsi" w:eastAsiaTheme="minorEastAsia" w:hAnsiTheme="minorHAnsi" w:cstheme="minorBidi"/>
          <w:b w:val="0"/>
          <w:bCs w:val="0"/>
          <w:szCs w:val="24"/>
        </w:rPr>
      </w:pPr>
      <w:hyperlink w:anchor="_Toc496908591" w:history="1">
        <w:r w:rsidR="00B67C72" w:rsidRPr="00E463D1">
          <w:rPr>
            <w:rStyle w:val="Hyperlink"/>
          </w:rPr>
          <w:t>A.</w:t>
        </w:r>
        <w:r w:rsidR="00B67C72">
          <w:rPr>
            <w:rFonts w:asciiTheme="minorHAnsi" w:eastAsiaTheme="minorEastAsia" w:hAnsiTheme="minorHAnsi" w:cstheme="minorBidi"/>
            <w:b w:val="0"/>
            <w:bCs w:val="0"/>
            <w:szCs w:val="24"/>
          </w:rPr>
          <w:tab/>
        </w:r>
        <w:r w:rsidR="00B67C72" w:rsidRPr="00E463D1">
          <w:rPr>
            <w:rStyle w:val="Hyperlink"/>
          </w:rPr>
          <w:t>Revenue Distribution</w:t>
        </w:r>
        <w:r w:rsidR="00B67C72">
          <w:rPr>
            <w:webHidden/>
          </w:rPr>
          <w:tab/>
        </w:r>
        <w:r w:rsidR="00B67C72">
          <w:rPr>
            <w:webHidden/>
          </w:rPr>
          <w:fldChar w:fldCharType="begin"/>
        </w:r>
        <w:r w:rsidR="00B67C72">
          <w:rPr>
            <w:webHidden/>
          </w:rPr>
          <w:instrText xml:space="preserve"> PAGEREF _Toc496908591 \h </w:instrText>
        </w:r>
        <w:r w:rsidR="00B67C72">
          <w:rPr>
            <w:webHidden/>
          </w:rPr>
        </w:r>
        <w:r w:rsidR="00B67C72">
          <w:rPr>
            <w:webHidden/>
          </w:rPr>
          <w:fldChar w:fldCharType="separate"/>
        </w:r>
        <w:r w:rsidR="00404631">
          <w:rPr>
            <w:webHidden/>
          </w:rPr>
          <w:t>20</w:t>
        </w:r>
        <w:r w:rsidR="00B67C72">
          <w:rPr>
            <w:webHidden/>
          </w:rPr>
          <w:fldChar w:fldCharType="end"/>
        </w:r>
      </w:hyperlink>
    </w:p>
    <w:p w:rsidR="00B67C72" w:rsidRDefault="00950C4F">
      <w:pPr>
        <w:pStyle w:val="TOC2"/>
        <w:rPr>
          <w:rFonts w:asciiTheme="minorHAnsi" w:eastAsiaTheme="minorEastAsia" w:hAnsiTheme="minorHAnsi" w:cstheme="minorBidi"/>
          <w:b w:val="0"/>
          <w:bCs w:val="0"/>
          <w:szCs w:val="24"/>
        </w:rPr>
      </w:pPr>
      <w:hyperlink w:anchor="_Toc496908592" w:history="1">
        <w:r w:rsidR="00B67C72" w:rsidRPr="00E463D1">
          <w:rPr>
            <w:rStyle w:val="Hyperlink"/>
          </w:rPr>
          <w:t>B.</w:t>
        </w:r>
        <w:r w:rsidR="00B67C72">
          <w:rPr>
            <w:rFonts w:asciiTheme="minorHAnsi" w:eastAsiaTheme="minorEastAsia" w:hAnsiTheme="minorHAnsi" w:cstheme="minorBidi"/>
            <w:b w:val="0"/>
            <w:bCs w:val="0"/>
            <w:szCs w:val="24"/>
          </w:rPr>
          <w:tab/>
        </w:r>
        <w:r w:rsidR="00B67C72" w:rsidRPr="00E463D1">
          <w:rPr>
            <w:rStyle w:val="Hyperlink"/>
          </w:rPr>
          <w:t>Distributed Renewable Generation</w:t>
        </w:r>
        <w:r w:rsidR="00B67C72">
          <w:rPr>
            <w:webHidden/>
          </w:rPr>
          <w:tab/>
        </w:r>
        <w:r w:rsidR="00B67C72">
          <w:rPr>
            <w:webHidden/>
          </w:rPr>
          <w:fldChar w:fldCharType="begin"/>
        </w:r>
        <w:r w:rsidR="00B67C72">
          <w:rPr>
            <w:webHidden/>
          </w:rPr>
          <w:instrText xml:space="preserve"> PAGEREF _Toc496908592 \h </w:instrText>
        </w:r>
        <w:r w:rsidR="00B67C72">
          <w:rPr>
            <w:webHidden/>
          </w:rPr>
        </w:r>
        <w:r w:rsidR="00B67C72">
          <w:rPr>
            <w:webHidden/>
          </w:rPr>
          <w:fldChar w:fldCharType="separate"/>
        </w:r>
        <w:r w:rsidR="00404631">
          <w:rPr>
            <w:webHidden/>
          </w:rPr>
          <w:t>24</w:t>
        </w:r>
        <w:r w:rsidR="00B67C72">
          <w:rPr>
            <w:webHidden/>
          </w:rPr>
          <w:fldChar w:fldCharType="end"/>
        </w:r>
      </w:hyperlink>
    </w:p>
    <w:p w:rsidR="00B67C72" w:rsidRDefault="00950C4F">
      <w:pPr>
        <w:pStyle w:val="TOC1"/>
        <w:tabs>
          <w:tab w:val="right" w:leader="dot" w:pos="9350"/>
        </w:tabs>
        <w:rPr>
          <w:rFonts w:asciiTheme="minorHAnsi" w:eastAsiaTheme="minorEastAsia" w:hAnsiTheme="minorHAnsi" w:cstheme="minorBidi"/>
          <w:b w:val="0"/>
          <w:bCs w:val="0"/>
          <w:caps w:val="0"/>
          <w:noProof/>
        </w:rPr>
      </w:pPr>
      <w:hyperlink w:anchor="_Toc496908593" w:history="1">
        <w:r w:rsidR="00B67C72" w:rsidRPr="00E463D1">
          <w:rPr>
            <w:rStyle w:val="Hyperlink"/>
            <w:noProof/>
          </w:rPr>
          <w:t>XIV. Conclusion</w:t>
        </w:r>
        <w:r w:rsidR="00B67C72">
          <w:rPr>
            <w:noProof/>
            <w:webHidden/>
          </w:rPr>
          <w:tab/>
        </w:r>
        <w:r w:rsidR="00B67C72">
          <w:rPr>
            <w:noProof/>
            <w:webHidden/>
          </w:rPr>
          <w:fldChar w:fldCharType="begin"/>
        </w:r>
        <w:r w:rsidR="00B67C72">
          <w:rPr>
            <w:noProof/>
            <w:webHidden/>
          </w:rPr>
          <w:instrText xml:space="preserve"> PAGEREF _Toc496908593 \h </w:instrText>
        </w:r>
        <w:r w:rsidR="00B67C72">
          <w:rPr>
            <w:noProof/>
            <w:webHidden/>
          </w:rPr>
        </w:r>
        <w:r w:rsidR="00B67C72">
          <w:rPr>
            <w:noProof/>
            <w:webHidden/>
          </w:rPr>
          <w:fldChar w:fldCharType="separate"/>
        </w:r>
        <w:r w:rsidR="00404631">
          <w:rPr>
            <w:noProof/>
            <w:webHidden/>
          </w:rPr>
          <w:t>27</w:t>
        </w:r>
        <w:r w:rsidR="00B67C72">
          <w:rPr>
            <w:noProof/>
            <w:webHidden/>
          </w:rPr>
          <w:fldChar w:fldCharType="end"/>
        </w:r>
      </w:hyperlink>
    </w:p>
    <w:p w:rsidR="004B0517" w:rsidRPr="000B2D95" w:rsidRDefault="004B0517" w:rsidP="00874BE6">
      <w:pPr>
        <w:widowControl w:val="0"/>
        <w:spacing w:after="0" w:line="240" w:lineRule="auto"/>
        <w:ind w:firstLine="0"/>
        <w:jc w:val="left"/>
        <w:outlineLvl w:val="9"/>
        <w:rPr>
          <w:color w:val="FFFFFF" w:themeColor="background1"/>
          <w:highlight w:val="darkBlue"/>
        </w:rPr>
      </w:pPr>
      <w:r w:rsidRPr="0006160A">
        <w:fldChar w:fldCharType="end"/>
      </w:r>
      <w:r w:rsidRPr="000B2D95">
        <w:rPr>
          <w:color w:val="FFFFFF" w:themeColor="background1"/>
          <w:highlight w:val="darkBlue"/>
        </w:rPr>
        <w:t xml:space="preserve"> </w:t>
      </w:r>
      <w:r w:rsidRPr="000B2D95">
        <w:rPr>
          <w:color w:val="FFFFFF" w:themeColor="background1"/>
          <w:highlight w:val="darkBlue"/>
        </w:rPr>
        <w:br w:type="page"/>
      </w:r>
    </w:p>
    <w:p w:rsidR="00915B45" w:rsidRPr="0006160A" w:rsidRDefault="00915B45" w:rsidP="00915B45">
      <w:pPr>
        <w:pStyle w:val="DocketNo0"/>
        <w:rPr>
          <w:rFonts w:eastAsia="Calibri"/>
        </w:rPr>
      </w:pPr>
      <w:r w:rsidRPr="0006160A">
        <w:rPr>
          <w:rFonts w:eastAsia="Calibri"/>
        </w:rPr>
        <w:lastRenderedPageBreak/>
        <w:t>PUC DOCKET NO. 46449</w:t>
      </w:r>
      <w:r w:rsidRPr="0006160A">
        <w:rPr>
          <w:rFonts w:eastAsia="Calibri"/>
        </w:rPr>
        <w:br/>
        <w:t>SOAH DOCKET NO. 473-17-1764</w:t>
      </w:r>
    </w:p>
    <w:p w:rsidR="00915B45" w:rsidRPr="0006160A" w:rsidRDefault="00915B45" w:rsidP="00915B45">
      <w:pPr>
        <w:pStyle w:val="DocketNo0"/>
      </w:pPr>
    </w:p>
    <w:tbl>
      <w:tblPr>
        <w:tblW w:w="10071" w:type="dxa"/>
        <w:tblLook w:val="01E0" w:firstRow="1" w:lastRow="1" w:firstColumn="1" w:lastColumn="1" w:noHBand="0" w:noVBand="0"/>
      </w:tblPr>
      <w:tblGrid>
        <w:gridCol w:w="4698"/>
        <w:gridCol w:w="630"/>
        <w:gridCol w:w="4743"/>
      </w:tblGrid>
      <w:tr w:rsidR="00915B45" w:rsidRPr="0006160A" w:rsidTr="00915B45">
        <w:tc>
          <w:tcPr>
            <w:tcW w:w="4698" w:type="dxa"/>
          </w:tcPr>
          <w:p w:rsidR="00915B45" w:rsidRPr="0006160A" w:rsidRDefault="00915B45" w:rsidP="00915B45">
            <w:pPr>
              <w:pStyle w:val="CaseCaption"/>
              <w:jc w:val="left"/>
            </w:pPr>
            <w:r w:rsidRPr="0006160A">
              <w:t>APPLICATION OF SOUTHWESTERN ELECTRIC POWER COMPANY FOR AUTHORITY TO CHANGE RATES</w:t>
            </w:r>
          </w:p>
        </w:tc>
        <w:tc>
          <w:tcPr>
            <w:tcW w:w="630" w:type="dxa"/>
          </w:tcPr>
          <w:p w:rsidR="00915B45" w:rsidRPr="0006160A" w:rsidRDefault="00915B45" w:rsidP="00915B45">
            <w:pPr>
              <w:pStyle w:val="CaseCaption"/>
            </w:pPr>
            <w:r w:rsidRPr="0006160A">
              <w:t>§</w:t>
            </w:r>
          </w:p>
          <w:p w:rsidR="00915B45" w:rsidRPr="0006160A" w:rsidRDefault="00915B45" w:rsidP="00915B45">
            <w:pPr>
              <w:pStyle w:val="CaseCaption"/>
            </w:pPr>
            <w:r w:rsidRPr="0006160A">
              <w:t>§</w:t>
            </w:r>
          </w:p>
          <w:p w:rsidR="00915B45" w:rsidRPr="0006160A" w:rsidRDefault="00915B45" w:rsidP="00915B45">
            <w:pPr>
              <w:pStyle w:val="CaseCaption"/>
            </w:pPr>
            <w:r w:rsidRPr="0006160A">
              <w:t>§</w:t>
            </w:r>
          </w:p>
          <w:p w:rsidR="00915B45" w:rsidRPr="0006160A" w:rsidRDefault="00915B45" w:rsidP="00915B45">
            <w:pPr>
              <w:pStyle w:val="CaseCaption"/>
            </w:pPr>
            <w:r w:rsidRPr="0006160A">
              <w:t>§</w:t>
            </w:r>
          </w:p>
          <w:p w:rsidR="00915B45" w:rsidRPr="0006160A" w:rsidRDefault="00915B45" w:rsidP="00915B45">
            <w:pPr>
              <w:pStyle w:val="CaseCaption"/>
            </w:pPr>
          </w:p>
        </w:tc>
        <w:tc>
          <w:tcPr>
            <w:tcW w:w="4743" w:type="dxa"/>
          </w:tcPr>
          <w:p w:rsidR="00915B45" w:rsidRPr="0006160A" w:rsidRDefault="00915B45" w:rsidP="00915B45">
            <w:pPr>
              <w:pStyle w:val="CaseCaption"/>
            </w:pPr>
            <w:r w:rsidRPr="0006160A">
              <w:t>Public utility commission</w:t>
            </w:r>
          </w:p>
          <w:p w:rsidR="00915B45" w:rsidRPr="0006160A" w:rsidRDefault="00915B45" w:rsidP="00915B45">
            <w:pPr>
              <w:pStyle w:val="CaseCaption"/>
            </w:pPr>
          </w:p>
          <w:p w:rsidR="00915B45" w:rsidRPr="0006160A" w:rsidRDefault="00915B45" w:rsidP="00915B45">
            <w:pPr>
              <w:pStyle w:val="CaseCaption"/>
            </w:pPr>
            <w:r w:rsidRPr="0006160A">
              <w:t>of texas</w:t>
            </w:r>
          </w:p>
        </w:tc>
      </w:tr>
    </w:tbl>
    <w:p w:rsidR="00915B45" w:rsidRPr="0006160A" w:rsidRDefault="00915B45" w:rsidP="00915B45">
      <w:pPr>
        <w:pStyle w:val="Documentheading"/>
      </w:pPr>
    </w:p>
    <w:p w:rsidR="00915B45" w:rsidRPr="0006160A" w:rsidRDefault="00915B45" w:rsidP="003246A8">
      <w:pPr>
        <w:pStyle w:val="Header"/>
      </w:pPr>
      <w:r w:rsidRPr="0006160A">
        <w:t xml:space="preserve">Commission Staff’s </w:t>
      </w:r>
      <w:r w:rsidR="00CB5DD7" w:rsidRPr="0006160A">
        <w:t xml:space="preserve">replies to </w:t>
      </w:r>
      <w:r w:rsidRPr="0006160A">
        <w:t>Exceptions to the proposal for decision</w:t>
      </w:r>
    </w:p>
    <w:p w:rsidR="00623F9E" w:rsidRPr="00D84BD1" w:rsidRDefault="00623F9E" w:rsidP="004B0517">
      <w:pPr>
        <w:pStyle w:val="Heading1"/>
      </w:pPr>
      <w:bookmarkStart w:id="1" w:name="_Toc496908570"/>
      <w:r w:rsidRPr="00D84BD1">
        <w:t>I.</w:t>
      </w:r>
      <w:r w:rsidR="00845F99" w:rsidRPr="00D84BD1">
        <w:t xml:space="preserve"> </w:t>
      </w:r>
      <w:r w:rsidRPr="00D84BD1">
        <w:t>Introduction</w:t>
      </w:r>
      <w:bookmarkEnd w:id="1"/>
    </w:p>
    <w:p w:rsidR="0006160A" w:rsidRDefault="0006160A" w:rsidP="0006160A">
      <w:r>
        <w:t>Many of the conclusions reached in the Proposal for Decision (PFD)</w:t>
      </w:r>
      <w:r>
        <w:rPr>
          <w:rStyle w:val="FootnoteReference"/>
        </w:rPr>
        <w:footnoteReference w:id="1"/>
      </w:r>
      <w:r>
        <w:t xml:space="preserve"> are correct and should be maintained over the objections of Southwestern Electric Power Company (SWEPCO). Staff remains</w:t>
      </w:r>
      <w:r w:rsidR="006D44D5" w:rsidRPr="0006160A">
        <w:t xml:space="preserve"> grateful for the reasoned consideration o</w:t>
      </w:r>
      <w:r>
        <w:t>f the Administrative Law Judges </w:t>
      </w:r>
      <w:r w:rsidR="006D44D5" w:rsidRPr="0006160A">
        <w:t>(ALJs)</w:t>
      </w:r>
      <w:r>
        <w:t>, and Staff supports the PFD’s recommendations on the accounting treatment for Welsh</w:t>
      </w:r>
      <w:r w:rsidR="001B6A83">
        <w:t xml:space="preserve"> Unit</w:t>
      </w:r>
      <w:r>
        <w:t xml:space="preserve"> 2, the jurisdictional treatment of SWEPCO’s transmission costs, the capitalization of certain vegetation management expenditures, and class and jurisdictional </w:t>
      </w:r>
      <w:r w:rsidR="00D82966">
        <w:t xml:space="preserve">cost </w:t>
      </w:r>
      <w:r>
        <w:t xml:space="preserve">allocation. </w:t>
      </w:r>
    </w:p>
    <w:p w:rsidR="002153B7" w:rsidRDefault="0006160A" w:rsidP="0006160A">
      <w:r>
        <w:t xml:space="preserve">In addition, Staff responds to parties’ exceptions regarding the recommended return on equity (ROE) and revenue distribution. While Staff excepted to the PFD on these issues, Staff highlights below that other parties’ exceptions on these issues only serve to emphasize the </w:t>
      </w:r>
      <w:r w:rsidR="001B6A83">
        <w:t xml:space="preserve">positive qualities </w:t>
      </w:r>
      <w:r>
        <w:t>of Staff's positions.</w:t>
      </w:r>
    </w:p>
    <w:p w:rsidR="0006160A" w:rsidRPr="0006160A" w:rsidRDefault="0006160A" w:rsidP="0006160A">
      <w:r>
        <w:t>Finally, Staff responds below to parties’ exceptions on several additional issues.</w:t>
      </w:r>
    </w:p>
    <w:p w:rsidR="000B2D95" w:rsidRPr="00E20371" w:rsidRDefault="000B2D95" w:rsidP="004B0517">
      <w:pPr>
        <w:pStyle w:val="Heading1"/>
      </w:pPr>
      <w:bookmarkStart w:id="2" w:name="_Toc496908571"/>
      <w:r w:rsidRPr="00E20371">
        <w:lastRenderedPageBreak/>
        <w:t>V. Rate base</w:t>
      </w:r>
      <w:bookmarkEnd w:id="2"/>
    </w:p>
    <w:p w:rsidR="000B2D95" w:rsidRPr="00E20371" w:rsidRDefault="000B2D95" w:rsidP="00E20371">
      <w:pPr>
        <w:pStyle w:val="Heading2"/>
      </w:pPr>
      <w:bookmarkStart w:id="3" w:name="_Toc496908572"/>
      <w:r w:rsidRPr="00E20371">
        <w:t>B.</w:t>
      </w:r>
      <w:r w:rsidRPr="00E20371">
        <w:tab/>
        <w:t>Welsh Unit 2 Retirement</w:t>
      </w:r>
      <w:bookmarkEnd w:id="3"/>
    </w:p>
    <w:p w:rsidR="00E20371" w:rsidRPr="009C7C21" w:rsidRDefault="00E20371" w:rsidP="00E20371">
      <w:pPr>
        <w:pStyle w:val="Heading3"/>
      </w:pPr>
      <w:bookmarkStart w:id="4" w:name="_Toc496908573"/>
      <w:r>
        <w:t>2.</w:t>
      </w:r>
      <w:r>
        <w:tab/>
        <w:t>Appropriate Ratemaking Treatment for Welsh Unit 2</w:t>
      </w:r>
      <w:bookmarkEnd w:id="4"/>
    </w:p>
    <w:p w:rsidR="00E20371" w:rsidRDefault="00E20371" w:rsidP="00E20371">
      <w:r>
        <w:t xml:space="preserve">Staff agrees with </w:t>
      </w:r>
      <w:r w:rsidR="00F70D8E">
        <w:t>Texas Industrial Energy Consumers (</w:t>
      </w:r>
      <w:r>
        <w:t>TIEC</w:t>
      </w:r>
      <w:r w:rsidR="00F70D8E">
        <w:t>)</w:t>
      </w:r>
      <w:r>
        <w:t xml:space="preserve">, </w:t>
      </w:r>
      <w:r w:rsidR="00F70D8E">
        <w:t>Cities Advocating Reasonable Deregulation (CARD)</w:t>
      </w:r>
      <w:r w:rsidR="00003860">
        <w:t>,</w:t>
      </w:r>
      <w:r>
        <w:t xml:space="preserve"> and the PFD that SWEPCO should not earn a return on the retired </w:t>
      </w:r>
      <w:r w:rsidR="000D1A6F">
        <w:t xml:space="preserve">Welsh Unit 2 </w:t>
      </w:r>
      <w:r>
        <w:t>generating plant</w:t>
      </w:r>
      <w:r w:rsidR="001B6A83">
        <w:t>, which is no longer used and useful in providing utility service</w:t>
      </w:r>
      <w:r>
        <w:t>.</w:t>
      </w:r>
      <w:r w:rsidR="00003860">
        <w:rPr>
          <w:rStyle w:val="FootnoteReference"/>
        </w:rPr>
        <w:footnoteReference w:id="2"/>
      </w:r>
      <w:r w:rsidR="001B6A83">
        <w:t xml:space="preserve"> </w:t>
      </w:r>
      <w:r>
        <w:t>SWEPCO argues that it should be able to recover not only the remaining investment of their retired plant, but also recover a rate of return on that retired plant.</w:t>
      </w:r>
      <w:r>
        <w:rPr>
          <w:rStyle w:val="FootnoteReference"/>
        </w:rPr>
        <w:footnoteReference w:id="3"/>
      </w:r>
      <w:r w:rsidR="001B6A83">
        <w:t xml:space="preserve"> </w:t>
      </w:r>
      <w:r>
        <w:t>Staff supports the PFD</w:t>
      </w:r>
      <w:r>
        <w:rPr>
          <w:rStyle w:val="FootnoteReference"/>
        </w:rPr>
        <w:footnoteReference w:id="4"/>
      </w:r>
      <w:r>
        <w:t xml:space="preserve"> </w:t>
      </w:r>
      <w:r w:rsidR="000D1A6F">
        <w:t xml:space="preserve">because </w:t>
      </w:r>
      <w:r>
        <w:t xml:space="preserve">denying a return on a retired generating unit is justified by </w:t>
      </w:r>
      <w:r w:rsidR="00205DC2">
        <w:t>statutory</w:t>
      </w:r>
      <w:r w:rsidR="001B6A83">
        <w:t xml:space="preserve"> requirement that rate base comprise facilities actually used and useful in providing service.</w:t>
      </w:r>
      <w:r w:rsidR="001B6A83">
        <w:rPr>
          <w:rStyle w:val="FootnoteReference"/>
        </w:rPr>
        <w:footnoteReference w:id="5"/>
      </w:r>
      <w:r>
        <w:t xml:space="preserve"> </w:t>
      </w:r>
      <w:r w:rsidR="001B6A83">
        <w:t>T</w:t>
      </w:r>
      <w:r>
        <w:t xml:space="preserve">here is no precedent for recovery of a rate of return on a retired generating plant </w:t>
      </w:r>
      <w:r w:rsidR="001B6A83">
        <w:t>in the manner requested by SWEPCO</w:t>
      </w:r>
      <w:r>
        <w:t>.</w:t>
      </w:r>
      <w:r w:rsidR="001B6A83">
        <w:rPr>
          <w:rStyle w:val="FootnoteReference"/>
        </w:rPr>
        <w:footnoteReference w:id="6"/>
      </w:r>
    </w:p>
    <w:p w:rsidR="002C292C" w:rsidRDefault="00E20371" w:rsidP="00E20371">
      <w:r>
        <w:t>SWEPCO attempts to obfuscate the issue by citing to the definition of “original cost” in PURA</w:t>
      </w:r>
      <w:r w:rsidR="00003860">
        <w:t>.</w:t>
      </w:r>
      <w:r>
        <w:rPr>
          <w:rStyle w:val="FootnoteReference"/>
        </w:rPr>
        <w:footnoteReference w:id="7"/>
      </w:r>
      <w:r>
        <w:t xml:space="preserve"> </w:t>
      </w:r>
      <w:r w:rsidR="00003860">
        <w:t>SWEPCO argues</w:t>
      </w:r>
      <w:r>
        <w:t xml:space="preserve"> that</w:t>
      </w:r>
      <w:r w:rsidR="00003860">
        <w:t>,</w:t>
      </w:r>
      <w:r>
        <w:t xml:space="preserve"> because the original cost has been removed from the invested capital section of their accounting books</w:t>
      </w:r>
      <w:r w:rsidR="00003860">
        <w:t>,</w:t>
      </w:r>
      <w:r>
        <w:t xml:space="preserve"> </w:t>
      </w:r>
      <w:r w:rsidR="00003860">
        <w:t xml:space="preserve">SWEPCO claims it has </w:t>
      </w:r>
      <w:r>
        <w:t>compli</w:t>
      </w:r>
      <w:r w:rsidR="00003860">
        <w:t>ed</w:t>
      </w:r>
      <w:r>
        <w:t xml:space="preserve"> with the statutory definition of what can compose invested capital, as no original cost remains.</w:t>
      </w:r>
      <w:r>
        <w:rPr>
          <w:rStyle w:val="FootnoteReference"/>
        </w:rPr>
        <w:footnoteReference w:id="8"/>
      </w:r>
      <w:r>
        <w:t xml:space="preserve"> </w:t>
      </w:r>
      <w:r w:rsidR="00003860">
        <w:t>However, all SWEPCO did was transfer the remaining value to a debit balance in accumulated depreciation.</w:t>
      </w:r>
      <w:r w:rsidR="00003860">
        <w:rPr>
          <w:rStyle w:val="FootnoteReference"/>
        </w:rPr>
        <w:footnoteReference w:id="9"/>
      </w:r>
      <w:r w:rsidR="001B6A83">
        <w:t xml:space="preserve"> </w:t>
      </w:r>
      <w:r w:rsidR="002C292C">
        <w:t xml:space="preserve">SWEPCO goes as far as agreeing with the PFD that “SWEPCO’s overall net plant, or rate base, </w:t>
      </w:r>
      <w:r w:rsidR="002C292C">
        <w:lastRenderedPageBreak/>
        <w:t>does not change as a result of removing the original cost of Welsh Unit 2 from plant in service and accumulated depreciation.”</w:t>
      </w:r>
      <w:r w:rsidR="002C292C">
        <w:rPr>
          <w:rStyle w:val="FootnoteReference"/>
        </w:rPr>
        <w:footnoteReference w:id="10"/>
      </w:r>
    </w:p>
    <w:p w:rsidR="00E20371" w:rsidRDefault="00003860" w:rsidP="00E20371">
      <w:r>
        <w:t>Contrary to SWEPCO’s view</w:t>
      </w:r>
      <w:r w:rsidR="00E20371">
        <w:t xml:space="preserve">, PURA </w:t>
      </w:r>
      <w:r w:rsidR="002C292C">
        <w:t xml:space="preserve">requires that </w:t>
      </w:r>
      <w:r w:rsidR="00E20371">
        <w:t>rates</w:t>
      </w:r>
      <w:r w:rsidR="002C292C">
        <w:t xml:space="preserve"> be</w:t>
      </w:r>
      <w:r w:rsidR="00E20371">
        <w:t xml:space="preserve"> based on the original cost, </w:t>
      </w:r>
      <w:r w:rsidR="00E20371" w:rsidRPr="00D84BD1">
        <w:rPr>
          <w:b/>
          <w:i/>
        </w:rPr>
        <w:t>less depreciation</w:t>
      </w:r>
      <w:r w:rsidR="00E20371">
        <w:t>, of property used by and useful to the utility in providing service.</w:t>
      </w:r>
      <w:r w:rsidR="00E20371">
        <w:rPr>
          <w:rStyle w:val="FootnoteReference"/>
        </w:rPr>
        <w:footnoteReference w:id="11"/>
      </w:r>
      <w:r w:rsidR="00E20371">
        <w:t xml:space="preserve"> </w:t>
      </w:r>
      <w:r w:rsidR="00DA1E3F">
        <w:t>Using an accounting entry to remove</w:t>
      </w:r>
      <w:r w:rsidR="00E20371">
        <w:t xml:space="preserve"> the remaining undepreciated balance of Welsh Unit</w:t>
      </w:r>
      <w:r w:rsidR="00DA1E3F">
        <w:t> </w:t>
      </w:r>
      <w:r w:rsidR="00E20371">
        <w:t>2 from original cost to a</w:t>
      </w:r>
      <w:r w:rsidR="00DA1E3F">
        <w:t>n accumulated</w:t>
      </w:r>
      <w:r w:rsidR="00E20371">
        <w:t xml:space="preserve"> depreciation asset does not remove the requirement that the approved invested capital amount reflect the plant that is used and useful in providing service.</w:t>
      </w:r>
      <w:r w:rsidR="001B6A83">
        <w:t xml:space="preserve"> </w:t>
      </w:r>
      <w:r w:rsidR="00E20371">
        <w:t>As the PFD states, accounting does not determine ratemaking; the statutory framework does.</w:t>
      </w:r>
      <w:r w:rsidR="00E20371">
        <w:rPr>
          <w:rStyle w:val="FootnoteReference"/>
        </w:rPr>
        <w:footnoteReference w:id="12"/>
      </w:r>
    </w:p>
    <w:p w:rsidR="00DA1E3F" w:rsidRDefault="00DA1E3F" w:rsidP="00E20371">
      <w:r>
        <w:t>Further, SWEPCO argues that there is no distinction between the early retirement of a distribution asset and an entire generating unit like Welsh Unit 2.</w:t>
      </w:r>
      <w:r>
        <w:rPr>
          <w:rStyle w:val="FootnoteReference"/>
        </w:rPr>
        <w:footnoteReference w:id="13"/>
      </w:r>
      <w:r>
        <w:t xml:space="preserve"> As correctly noted in the PFD</w:t>
      </w:r>
      <w:r>
        <w:rPr>
          <w:rStyle w:val="FootnoteReference"/>
        </w:rPr>
        <w:footnoteReference w:id="14"/>
      </w:r>
      <w:r>
        <w:t xml:space="preserve"> and as noted in Staff’s direct testimony,</w:t>
      </w:r>
      <w:r>
        <w:rPr>
          <w:rStyle w:val="FootnoteReference"/>
        </w:rPr>
        <w:footnoteReference w:id="15"/>
      </w:r>
      <w:r>
        <w:t xml:space="preserve"> the grouping of transmission and distribution assets mitigates the over</w:t>
      </w:r>
      <w:r w:rsidR="00E933CB">
        <w:t>-</w:t>
      </w:r>
      <w:r>
        <w:t xml:space="preserve"> or under</w:t>
      </w:r>
      <w:r w:rsidR="00E933CB">
        <w:t>-</w:t>
      </w:r>
      <w:r>
        <w:t xml:space="preserve">depreciation of individual </w:t>
      </w:r>
      <w:r w:rsidR="003E5C95">
        <w:t>facilities</w:t>
      </w:r>
      <w:r>
        <w:t>. This is not the case with the extraordinary retirement of a large generating unit like Welsh Unit 2, as Staff has noted previously.</w:t>
      </w:r>
      <w:r>
        <w:rPr>
          <w:rStyle w:val="FootnoteReference"/>
        </w:rPr>
        <w:footnoteReference w:id="16"/>
      </w:r>
    </w:p>
    <w:p w:rsidR="00E20371" w:rsidRPr="00346B9C" w:rsidRDefault="00E20371" w:rsidP="00E20371">
      <w:pPr>
        <w:rPr>
          <w:rFonts w:eastAsia="Calibri"/>
        </w:rPr>
      </w:pPr>
      <w:r>
        <w:t>SWEPCO also argues that the used and useful test is only applicable at the initial inclusion of the property into invested capital.</w:t>
      </w:r>
      <w:r>
        <w:rPr>
          <w:rStyle w:val="FootnoteReference"/>
        </w:rPr>
        <w:footnoteReference w:id="17"/>
      </w:r>
      <w:r>
        <w:t xml:space="preserve"> However, as the PFD explains, the precedent SWEPCO relies on only establishes at most that “a plant cannot be included in rate base until it is used and useful, not that a plant that is no longer used and useful can stay in rate base indefinitely.”</w:t>
      </w:r>
      <w:r>
        <w:rPr>
          <w:rStyle w:val="FootnoteReference"/>
        </w:rPr>
        <w:footnoteReference w:id="18"/>
      </w:r>
      <w:r w:rsidR="001B6A83">
        <w:t xml:space="preserve"> </w:t>
      </w:r>
      <w:r w:rsidRPr="00346B9C">
        <w:rPr>
          <w:rFonts w:eastAsia="Calibri"/>
        </w:rPr>
        <w:t>The Commission has agreed with this approach in the past, stating that</w:t>
      </w:r>
      <w:r>
        <w:rPr>
          <w:rFonts w:eastAsia="Calibri"/>
        </w:rPr>
        <w:t xml:space="preserve"> an equitable solution involved allowing the utility to recover the capital cost of an asset that was found to be a prudent investment, while not allowing the continued recovery of the same return on that asset</w:t>
      </w:r>
      <w:r w:rsidRPr="00346B9C">
        <w:rPr>
          <w:rFonts w:eastAsia="Calibri"/>
        </w:rPr>
        <w:t>:</w:t>
      </w:r>
      <w:r>
        <w:rPr>
          <w:rFonts w:eastAsia="Calibri"/>
        </w:rPr>
        <w:t xml:space="preserve"> </w:t>
      </w:r>
    </w:p>
    <w:p w:rsidR="00E20371" w:rsidRDefault="00E20371" w:rsidP="00E20371">
      <w:pPr>
        <w:pStyle w:val="Blockquote"/>
        <w:rPr>
          <w:rFonts w:eastAsia="Calibri"/>
        </w:rPr>
      </w:pPr>
      <w:r w:rsidRPr="00346B9C">
        <w:rPr>
          <w:rFonts w:eastAsia="Calibri"/>
        </w:rPr>
        <w:lastRenderedPageBreak/>
        <w:t xml:space="preserve">Under the “used” standard applied in past cases, the Commission exercised its authority to balance equities by allowing recovery of capital costs while </w:t>
      </w:r>
      <w:r w:rsidRPr="000F6746">
        <w:rPr>
          <w:rFonts w:eastAsia="Calibri"/>
          <w:b/>
          <w:i/>
        </w:rPr>
        <w:t>eliminating or reducing the return on those assets</w:t>
      </w:r>
      <w:r w:rsidRPr="00346B9C">
        <w:rPr>
          <w:rFonts w:eastAsia="Calibri"/>
        </w:rPr>
        <w:t xml:space="preserve"> that have been found prudent, but </w:t>
      </w:r>
      <w:r w:rsidRPr="000F6746">
        <w:rPr>
          <w:rFonts w:eastAsia="Calibri"/>
          <w:b/>
          <w:i/>
        </w:rPr>
        <w:t>that are not used to provide service</w:t>
      </w:r>
      <w:r w:rsidRPr="00346B9C">
        <w:rPr>
          <w:rFonts w:eastAsia="Calibri"/>
        </w:rPr>
        <w:t>.</w:t>
      </w:r>
      <w:r>
        <w:rPr>
          <w:rFonts w:eastAsia="Calibri"/>
        </w:rPr>
        <w:t xml:space="preserve"> </w:t>
      </w:r>
      <w:r w:rsidRPr="00346B9C">
        <w:rPr>
          <w:rFonts w:eastAsia="Calibri"/>
        </w:rPr>
        <w:t>The same rationale may be consistently applied when assets are unuseful.</w:t>
      </w:r>
      <w:r w:rsidRPr="00346B9C">
        <w:rPr>
          <w:rStyle w:val="FootnoteReference"/>
          <w:rFonts w:eastAsia="Calibri"/>
        </w:rPr>
        <w:footnoteReference w:id="19"/>
      </w:r>
      <w:r w:rsidRPr="00346B9C">
        <w:rPr>
          <w:rFonts w:eastAsia="Calibri"/>
        </w:rPr>
        <w:t xml:space="preserve"> </w:t>
      </w:r>
    </w:p>
    <w:p w:rsidR="00DA1E3F" w:rsidRDefault="00E20371" w:rsidP="00DA1E3F">
      <w:pPr>
        <w:spacing w:after="0"/>
        <w:rPr>
          <w:rFonts w:eastAsia="Calibri"/>
        </w:rPr>
      </w:pPr>
      <w:r w:rsidRPr="00346B9C">
        <w:rPr>
          <w:rFonts w:eastAsia="Calibri"/>
        </w:rPr>
        <w:t xml:space="preserve">The </w:t>
      </w:r>
      <w:r>
        <w:rPr>
          <w:rFonts w:eastAsia="Calibri"/>
        </w:rPr>
        <w:t>plain</w:t>
      </w:r>
      <w:r w:rsidRPr="00346B9C">
        <w:rPr>
          <w:rFonts w:eastAsia="Calibri"/>
        </w:rPr>
        <w:t xml:space="preserve"> meaning of “useful” is:</w:t>
      </w:r>
      <w:r>
        <w:rPr>
          <w:rFonts w:eastAsia="Calibri"/>
        </w:rPr>
        <w:t xml:space="preserve"> </w:t>
      </w:r>
      <w:r w:rsidRPr="00346B9C">
        <w:rPr>
          <w:rFonts w:eastAsia="Calibri"/>
        </w:rPr>
        <w:t>being of use or service; serving some purpose; advantageous; of practical use, as for doing work; producing material results; supplying common needs.</w:t>
      </w:r>
      <w:r w:rsidRPr="00346B9C">
        <w:rPr>
          <w:rStyle w:val="FootnoteReference"/>
          <w:rFonts w:eastAsia="Calibri"/>
        </w:rPr>
        <w:footnoteReference w:id="20"/>
      </w:r>
      <w:r>
        <w:rPr>
          <w:rFonts w:eastAsia="Calibri"/>
        </w:rPr>
        <w:t xml:space="preserve"> </w:t>
      </w:r>
      <w:r w:rsidRPr="00346B9C">
        <w:rPr>
          <w:rFonts w:eastAsia="Calibri"/>
        </w:rPr>
        <w:t>A retired plant is doing none of these things.</w:t>
      </w:r>
    </w:p>
    <w:p w:rsidR="00E20371" w:rsidRPr="00257F67" w:rsidRDefault="00E20371" w:rsidP="00E20371">
      <w:pPr>
        <w:spacing w:after="0"/>
      </w:pPr>
      <w:r>
        <w:rPr>
          <w:rFonts w:eastAsia="Calibri"/>
        </w:rPr>
        <w:t>Additionally, SWEPCO attempts to use the Commission</w:t>
      </w:r>
      <w:r w:rsidR="00D41B8A">
        <w:rPr>
          <w:rFonts w:eastAsia="Calibri"/>
        </w:rPr>
        <w:t>’</w:t>
      </w:r>
      <w:r>
        <w:rPr>
          <w:rFonts w:eastAsia="Calibri"/>
        </w:rPr>
        <w:t>s recently adopted water rules to show the Commission</w:t>
      </w:r>
      <w:r w:rsidR="00D41B8A">
        <w:rPr>
          <w:rFonts w:eastAsia="Calibri"/>
        </w:rPr>
        <w:t>’</w:t>
      </w:r>
      <w:r>
        <w:rPr>
          <w:rFonts w:eastAsia="Calibri"/>
        </w:rPr>
        <w:t>s intent for utilities to earn a recovery on retired plants.</w:t>
      </w:r>
      <w:r>
        <w:rPr>
          <w:rStyle w:val="FootnoteReference"/>
          <w:rFonts w:eastAsia="Calibri"/>
        </w:rPr>
        <w:footnoteReference w:id="21"/>
      </w:r>
      <w:r w:rsidRPr="00257F67">
        <w:t xml:space="preserve"> However, as </w:t>
      </w:r>
      <w:r>
        <w:t>the PFD</w:t>
      </w:r>
      <w:r>
        <w:rPr>
          <w:rStyle w:val="FootnoteReference"/>
        </w:rPr>
        <w:footnoteReference w:id="22"/>
      </w:r>
      <w:r>
        <w:t xml:space="preserve"> and TIEC point</w:t>
      </w:r>
      <w:r w:rsidRPr="00257F67">
        <w:t xml:space="preserve"> out</w:t>
      </w:r>
      <w:r>
        <w:t>,</w:t>
      </w:r>
      <w:r w:rsidRPr="00257F67">
        <w:rPr>
          <w:rStyle w:val="FootnoteReference"/>
        </w:rPr>
        <w:footnoteReference w:id="23"/>
      </w:r>
      <w:r w:rsidRPr="00257F67">
        <w:t xml:space="preserve"> this rule implements a different statutory scheme than the one for electric ratemaking. In addition, the explicit allowance of a return for retired assets in ratemaking</w:t>
      </w:r>
      <w:r>
        <w:t xml:space="preserve"> for water utilities</w:t>
      </w:r>
      <w:r w:rsidRPr="00257F67">
        <w:t xml:space="preserve"> and the absence of any explicit language in electric ratemaking sends a clear signal that the Commission is able to include that </w:t>
      </w:r>
      <w:r>
        <w:t>same</w:t>
      </w:r>
      <w:r w:rsidRPr="00257F67">
        <w:t xml:space="preserve"> language in the electric rules and has chosen not to.</w:t>
      </w:r>
      <w:r>
        <w:rPr>
          <w:rStyle w:val="FootnoteReference"/>
        </w:rPr>
        <w:footnoteReference w:id="24"/>
      </w:r>
    </w:p>
    <w:p w:rsidR="00E20371" w:rsidRDefault="00E20371" w:rsidP="00E20371">
      <w:pPr>
        <w:spacing w:after="0"/>
      </w:pPr>
      <w:r>
        <w:rPr>
          <w:rFonts w:eastAsia="Calibri"/>
        </w:rPr>
        <w:t xml:space="preserve">SWEPCO contends that a Commission decision to allow a return on retired meter investments in connection with the deployment of advanced metering in </w:t>
      </w:r>
      <w:r w:rsidR="002174C8">
        <w:rPr>
          <w:rFonts w:eastAsia="Calibri"/>
        </w:rPr>
        <w:t xml:space="preserve">the </w:t>
      </w:r>
      <w:r>
        <w:rPr>
          <w:rFonts w:eastAsia="Calibri"/>
        </w:rPr>
        <w:t>E</w:t>
      </w:r>
      <w:r w:rsidR="002174C8">
        <w:rPr>
          <w:rFonts w:eastAsia="Calibri"/>
        </w:rPr>
        <w:t xml:space="preserve">lectric </w:t>
      </w:r>
      <w:r>
        <w:rPr>
          <w:rFonts w:eastAsia="Calibri"/>
        </w:rPr>
        <w:t>R</w:t>
      </w:r>
      <w:r w:rsidR="002174C8">
        <w:rPr>
          <w:rFonts w:eastAsia="Calibri"/>
        </w:rPr>
        <w:t xml:space="preserve">eliability </w:t>
      </w:r>
      <w:r>
        <w:rPr>
          <w:rFonts w:eastAsia="Calibri"/>
        </w:rPr>
        <w:t>C</w:t>
      </w:r>
      <w:r w:rsidR="002174C8">
        <w:rPr>
          <w:rFonts w:eastAsia="Calibri"/>
        </w:rPr>
        <w:t xml:space="preserve">ouncil of </w:t>
      </w:r>
      <w:r>
        <w:rPr>
          <w:rFonts w:eastAsia="Calibri"/>
        </w:rPr>
        <w:t>T</w:t>
      </w:r>
      <w:r w:rsidR="002174C8">
        <w:rPr>
          <w:rFonts w:eastAsia="Calibri"/>
        </w:rPr>
        <w:t>exas (ERCOT)</w:t>
      </w:r>
      <w:r>
        <w:rPr>
          <w:rFonts w:eastAsia="Calibri"/>
        </w:rPr>
        <w:t xml:space="preserve"> could not have occurred if the used and useful standard prohibited earning a return on a retired plant.</w:t>
      </w:r>
      <w:r>
        <w:rPr>
          <w:rStyle w:val="FootnoteReference"/>
          <w:rFonts w:eastAsia="Calibri"/>
        </w:rPr>
        <w:footnoteReference w:id="25"/>
      </w:r>
      <w:r w:rsidRPr="00EB3C7E">
        <w:t xml:space="preserve"> </w:t>
      </w:r>
      <w:r w:rsidRPr="00257F67">
        <w:t>It is true that in certain cases related to deployment of advanced metering, the Commission has allowed recovery of a return on retired meters no longer in service.</w:t>
      </w:r>
      <w:r w:rsidRPr="00257F67">
        <w:rPr>
          <w:rStyle w:val="FootnoteReference"/>
        </w:rPr>
        <w:footnoteReference w:id="26"/>
      </w:r>
      <w:r w:rsidRPr="00257F67">
        <w:t xml:space="preserve"> However, this is an excepti</w:t>
      </w:r>
      <w:r>
        <w:t>on to the used and useful rule.</w:t>
      </w:r>
      <w:r w:rsidRPr="00257F67">
        <w:t xml:space="preserve"> PURA states </w:t>
      </w:r>
      <w:r>
        <w:t xml:space="preserve">that </w:t>
      </w:r>
      <w:r w:rsidRPr="00257F67">
        <w:t xml:space="preserve">“it is the intent of the </w:t>
      </w:r>
      <w:r w:rsidRPr="00257F67">
        <w:lastRenderedPageBreak/>
        <w:t>legislature that net metering and advanced meter information networks be deployed as rapidly as possible to allow customers to better manage energy use and control costs, and to facilitate demand response initiatives.”</w:t>
      </w:r>
      <w:r>
        <w:rPr>
          <w:rStyle w:val="FootnoteReference"/>
        </w:rPr>
        <w:footnoteReference w:id="27"/>
      </w:r>
      <w:r w:rsidRPr="00257F67">
        <w:t xml:space="preserve"> </w:t>
      </w:r>
      <w:r w:rsidR="00D959EC">
        <w:t>Consistent with this intent</w:t>
      </w:r>
      <w:r>
        <w:t>, the statute</w:t>
      </w:r>
      <w:r w:rsidRPr="00257F67">
        <w:t xml:space="preserve"> </w:t>
      </w:r>
      <w:r>
        <w:t xml:space="preserve">expressly </w:t>
      </w:r>
      <w:r w:rsidRPr="00257F67">
        <w:t>allows recovery of reasonable and necessary charges to deploy advanced meters.</w:t>
      </w:r>
      <w:r>
        <w:rPr>
          <w:rStyle w:val="FootnoteReference"/>
        </w:rPr>
        <w:footnoteReference w:id="28"/>
      </w:r>
      <w:r w:rsidRPr="00257F67">
        <w:t xml:space="preserve"> Pursuant to these provisions of the statute, the Commission adopted 16 T</w:t>
      </w:r>
      <w:r w:rsidR="006D754A">
        <w:t xml:space="preserve">ex. </w:t>
      </w:r>
      <w:r w:rsidRPr="00257F67">
        <w:t>A</w:t>
      </w:r>
      <w:r w:rsidR="006D754A">
        <w:t xml:space="preserve">dmin. </w:t>
      </w:r>
      <w:r w:rsidRPr="00257F67">
        <w:t>C</w:t>
      </w:r>
      <w:r w:rsidR="006D754A">
        <w:t>ode</w:t>
      </w:r>
      <w:r w:rsidRPr="00257F67">
        <w:t xml:space="preserve"> § 25.130(k)(4)</w:t>
      </w:r>
      <w:r w:rsidR="006D754A">
        <w:t xml:space="preserve"> (TAC)</w:t>
      </w:r>
      <w:r w:rsidRPr="00257F67">
        <w:t>,</w:t>
      </w:r>
      <w:r>
        <w:t xml:space="preserve"> </w:t>
      </w:r>
      <w:r w:rsidRPr="00257F67">
        <w:t>which provides for reasonable recovery of non-AMS metering equipment not yet fully depreciated but replaced by AMS meters.</w:t>
      </w:r>
      <w:r w:rsidR="00D959EC">
        <w:rPr>
          <w:rStyle w:val="FootnoteReference"/>
        </w:rPr>
        <w:footnoteReference w:id="29"/>
      </w:r>
      <w:r w:rsidRPr="00257F67">
        <w:t xml:space="preserve"> The</w:t>
      </w:r>
      <w:r>
        <w:t xml:space="preserve"> specific</w:t>
      </w:r>
      <w:r w:rsidRPr="00257F67">
        <w:t xml:space="preserve"> provisions of </w:t>
      </w:r>
      <w:r>
        <w:t xml:space="preserve">PURA </w:t>
      </w:r>
      <w:r w:rsidRPr="00257F67">
        <w:t>Chapter</w:t>
      </w:r>
      <w:r>
        <w:t> </w:t>
      </w:r>
      <w:r w:rsidRPr="00257F67">
        <w:t xml:space="preserve">39 </w:t>
      </w:r>
      <w:r>
        <w:t>provide an exception to the general</w:t>
      </w:r>
      <w:r w:rsidRPr="00257F67">
        <w:t xml:space="preserve"> requirement that invested capital must be used and useful in providing service.</w:t>
      </w:r>
      <w:r>
        <w:rPr>
          <w:rStyle w:val="FootnoteReference"/>
        </w:rPr>
        <w:footnoteReference w:id="30"/>
      </w:r>
      <w:r>
        <w:t xml:space="preserve"> </w:t>
      </w:r>
      <w:r w:rsidRPr="00257F67">
        <w:t>SWEPCO’s early retirement of Welsh Unit 2 does not fall under this exception to the requirement</w:t>
      </w:r>
      <w:r>
        <w:t xml:space="preserve"> that items in rate base be used and useful</w:t>
      </w:r>
      <w:r w:rsidRPr="00257F67">
        <w:t>.</w:t>
      </w:r>
    </w:p>
    <w:p w:rsidR="00BB0029" w:rsidRPr="00257F67" w:rsidRDefault="00BB0029" w:rsidP="00E20371">
      <w:pPr>
        <w:spacing w:after="0"/>
      </w:pPr>
      <w:r>
        <w:t>Finally, SWEPCO proposes alternative forms of recovery in lieu of charging SWEPCO’s full rate of return on the undepreciated value of Welsh Unit 2.</w:t>
      </w:r>
      <w:r>
        <w:rPr>
          <w:rStyle w:val="FootnoteReference"/>
        </w:rPr>
        <w:footnoteReference w:id="31"/>
      </w:r>
      <w:r>
        <w:t xml:space="preserve"> Specifically, SWEPCO requests </w:t>
      </w:r>
      <w:r w:rsidR="00E97389">
        <w:t xml:space="preserve">a debt-only rate of return on or </w:t>
      </w:r>
      <w:r>
        <w:t xml:space="preserve">accelerated amortization of the undepreciated value </w:t>
      </w:r>
      <w:r w:rsidR="00E97389">
        <w:t>of Welsh Unit 2.</w:t>
      </w:r>
      <w:r w:rsidR="00E97389">
        <w:rPr>
          <w:rStyle w:val="FootnoteReference"/>
        </w:rPr>
        <w:footnoteReference w:id="32"/>
      </w:r>
      <w:r w:rsidR="00E97389">
        <w:t xml:space="preserve"> SWEPCO relies on Docket No. 14965 as support for these proposals,</w:t>
      </w:r>
      <w:r w:rsidR="00E97389">
        <w:rPr>
          <w:rStyle w:val="FootnoteReference"/>
        </w:rPr>
        <w:footnoteReference w:id="33"/>
      </w:r>
      <w:r w:rsidR="00E97389">
        <w:t xml:space="preserve"> but that precedent cuts against SWEPCO’s position. In that proceeding, the Commission denied the applicant’s request to include temporarily retired generating facilities in rate base because those facilities were not used and useful and would not be returned to service for at least 10 years.</w:t>
      </w:r>
      <w:r w:rsidR="00E97389">
        <w:rPr>
          <w:rStyle w:val="FootnoteReference"/>
        </w:rPr>
        <w:footnoteReference w:id="34"/>
      </w:r>
      <w:r w:rsidR="00C3219C">
        <w:t xml:space="preserve"> While the Commission did permit accelerated depreciation for certain assets in that proceeding,</w:t>
      </w:r>
      <w:r w:rsidR="00C3219C">
        <w:rPr>
          <w:rStyle w:val="FootnoteReference"/>
        </w:rPr>
        <w:footnoteReference w:id="35"/>
      </w:r>
      <w:r w:rsidR="00C3219C">
        <w:t xml:space="preserve"> the facts of this proceeding do not warrant similar treatment.</w:t>
      </w:r>
      <w:r w:rsidR="00C3219C" w:rsidRPr="00C3219C">
        <w:t xml:space="preserve"> </w:t>
      </w:r>
      <w:r w:rsidR="00C3219C">
        <w:t xml:space="preserve">In that proceeding, the Commission addressed </w:t>
      </w:r>
      <w:r w:rsidR="00C3219C">
        <w:lastRenderedPageBreak/>
        <w:t>the appropriate treatment of investment that was at risk of being stranded due to changes in the regulatory scheme in Texas that were beyond the utility’s control.</w:t>
      </w:r>
      <w:r w:rsidR="00C3219C">
        <w:rPr>
          <w:rStyle w:val="FootnoteReference"/>
        </w:rPr>
        <w:footnoteReference w:id="36"/>
      </w:r>
      <w:r w:rsidR="00C3219C">
        <w:t xml:space="preserve"> In this case, SWEPCO voluntarily retired Welsh Unit 2 prior to the end of its useful life fully aware of the PURA requirement that investment be used and useful in order to earn a return.</w:t>
      </w:r>
    </w:p>
    <w:p w:rsidR="00E20371" w:rsidRPr="000B2D95" w:rsidRDefault="00E20371" w:rsidP="00E20371">
      <w:pPr>
        <w:rPr>
          <w:highlight w:val="lightGray"/>
        </w:rPr>
      </w:pPr>
      <w:r>
        <w:rPr>
          <w:rFonts w:eastAsia="Calibri"/>
        </w:rPr>
        <w:t>As the PFD states, the issue is straightforward</w:t>
      </w:r>
      <w:r w:rsidR="00D41B8A">
        <w:rPr>
          <w:rFonts w:eastAsia="Calibri"/>
        </w:rPr>
        <w:t xml:space="preserve">: </w:t>
      </w:r>
      <w:r>
        <w:rPr>
          <w:rFonts w:eastAsia="Calibri"/>
        </w:rPr>
        <w:t xml:space="preserve">whether a utility </w:t>
      </w:r>
      <w:r w:rsidR="00D959EC">
        <w:rPr>
          <w:rFonts w:eastAsia="Calibri"/>
        </w:rPr>
        <w:t>will</w:t>
      </w:r>
      <w:r>
        <w:rPr>
          <w:rFonts w:eastAsia="Calibri"/>
        </w:rPr>
        <w:t xml:space="preserve"> have the opportunity to earn a return on the remaining undepreciated balance of a generating plant that was used and useful in the past but is now retired.</w:t>
      </w:r>
      <w:r w:rsidR="001B6A83">
        <w:rPr>
          <w:rFonts w:eastAsia="Calibri"/>
        </w:rPr>
        <w:t xml:space="preserve"> </w:t>
      </w:r>
      <w:r>
        <w:rPr>
          <w:rFonts w:eastAsia="Calibri"/>
        </w:rPr>
        <w:t>Staff agrees with the PFD’s overall recommendation</w:t>
      </w:r>
      <w:r w:rsidR="000D1A6F">
        <w:rPr>
          <w:rFonts w:eastAsia="Calibri"/>
        </w:rPr>
        <w:t xml:space="preserve">, which would allow </w:t>
      </w:r>
      <w:r>
        <w:rPr>
          <w:rFonts w:eastAsia="Calibri"/>
        </w:rPr>
        <w:t>SWEPCO to recover the remaining balance, but not earn a return on it, as the retired plant is no longer beneficial to ratepayers.</w:t>
      </w:r>
      <w:r w:rsidR="001B6A83">
        <w:rPr>
          <w:rStyle w:val="FootnoteReference"/>
          <w:rFonts w:eastAsia="Calibri"/>
        </w:rPr>
        <w:footnoteReference w:id="37"/>
      </w:r>
      <w:r w:rsidR="00C3219C">
        <w:rPr>
          <w:rFonts w:eastAsia="Calibri"/>
        </w:rPr>
        <w:t xml:space="preserve"> </w:t>
      </w:r>
    </w:p>
    <w:p w:rsidR="00003860" w:rsidRDefault="00003860" w:rsidP="00003860">
      <w:pPr>
        <w:pStyle w:val="Heading2"/>
      </w:pPr>
      <w:bookmarkStart w:id="5" w:name="_Toc496908574"/>
      <w:r>
        <w:t>C</w:t>
      </w:r>
      <w:r w:rsidRPr="00E20371">
        <w:t>.</w:t>
      </w:r>
      <w:r w:rsidRPr="00E20371">
        <w:tab/>
      </w:r>
      <w:r>
        <w:t>Turk Power Plant Cost Cap</w:t>
      </w:r>
      <w:bookmarkEnd w:id="5"/>
    </w:p>
    <w:p w:rsidR="00003860" w:rsidRPr="009854AA" w:rsidRDefault="00003860" w:rsidP="009713A1">
      <w:r>
        <w:t>Staff agrees with TIEC that the financing costs of the Turk Power Plant should be disallowed in the same percentage as</w:t>
      </w:r>
      <w:r w:rsidR="00BB0029">
        <w:t xml:space="preserve"> the construction costs exceeding</w:t>
      </w:r>
      <w:r>
        <w:t xml:space="preserve"> the cost cap.</w:t>
      </w:r>
      <w:r>
        <w:rPr>
          <w:rStyle w:val="FootnoteReference"/>
        </w:rPr>
        <w:footnoteReference w:id="38"/>
      </w:r>
      <w:r>
        <w:t xml:space="preserve"> The Allowance for Funds Used During Construction (AFUDC) is appropriately reduced by 13.8%, as that is the amount that the direct costs were disallowed.</w:t>
      </w:r>
      <w:r>
        <w:rPr>
          <w:rStyle w:val="FootnoteReference"/>
        </w:rPr>
        <w:footnoteReference w:id="39"/>
      </w:r>
      <w:r>
        <w:t xml:space="preserve"> This reduction is appropriately based on the total costs above the cost cap, </w:t>
      </w:r>
      <w:r w:rsidR="00E97389">
        <w:t>without regard to their timing</w:t>
      </w:r>
      <w:r>
        <w:t>. If SWEPCO spent an additional 13.8% over the cost cap, then 13.8% of the financing costs used during the project is over the cost cap.</w:t>
      </w:r>
      <w:r w:rsidR="001B6A83">
        <w:t xml:space="preserve"> </w:t>
      </w:r>
      <w:r>
        <w:t xml:space="preserve"> </w:t>
      </w:r>
    </w:p>
    <w:p w:rsidR="000B2D95" w:rsidRDefault="000B2D95" w:rsidP="00497AC2">
      <w:pPr>
        <w:pStyle w:val="Heading2"/>
      </w:pPr>
      <w:bookmarkStart w:id="6" w:name="_Toc496908575"/>
      <w:r w:rsidRPr="00497AC2">
        <w:t>F.</w:t>
      </w:r>
      <w:r w:rsidRPr="00497AC2">
        <w:tab/>
        <w:t>Treatment of Transmission Invested Capital</w:t>
      </w:r>
      <w:bookmarkEnd w:id="6"/>
    </w:p>
    <w:p w:rsidR="002146D8" w:rsidRDefault="002146D8" w:rsidP="002146D8">
      <w:r>
        <w:t xml:space="preserve">The PFD correctly recommends that SWEPCO’s transmission revenue requirement be calculated using the Commission’s traditional method, which </w:t>
      </w:r>
      <w:r w:rsidR="002C292C">
        <w:t xml:space="preserve">includes Commission-authorized return and operating expenses for SWEPCO’s transmission assets and </w:t>
      </w:r>
      <w:r>
        <w:t>passes-through</w:t>
      </w:r>
      <w:r w:rsidR="003144C4">
        <w:t xml:space="preserve"> to ratepayers</w:t>
      </w:r>
      <w:r>
        <w:t xml:space="preserve"> SWEPCO’s expenses and revenues under the S</w:t>
      </w:r>
      <w:r w:rsidR="002174C8">
        <w:t xml:space="preserve">outhwest </w:t>
      </w:r>
      <w:r>
        <w:t>P</w:t>
      </w:r>
      <w:r w:rsidR="002174C8">
        <w:t xml:space="preserve">ower </w:t>
      </w:r>
      <w:r>
        <w:t>P</w:t>
      </w:r>
      <w:r w:rsidR="002174C8">
        <w:t>ool (SPP)</w:t>
      </w:r>
      <w:r>
        <w:t xml:space="preserve"> O</w:t>
      </w:r>
      <w:r w:rsidR="002174C8">
        <w:t xml:space="preserve">pen </w:t>
      </w:r>
      <w:r>
        <w:t>A</w:t>
      </w:r>
      <w:r w:rsidR="002174C8">
        <w:t xml:space="preserve">ccess </w:t>
      </w:r>
      <w:r>
        <w:lastRenderedPageBreak/>
        <w:t>T</w:t>
      </w:r>
      <w:r w:rsidR="002174C8">
        <w:t xml:space="preserve">ransmission </w:t>
      </w:r>
      <w:r>
        <w:t>T</w:t>
      </w:r>
      <w:r w:rsidR="002174C8">
        <w:t>ariff (OATT</w:t>
      </w:r>
      <w:r w:rsidR="003144C4">
        <w:t>)</w:t>
      </w:r>
      <w:r>
        <w:t>.</w:t>
      </w:r>
      <w:r w:rsidRPr="002146D8">
        <w:rPr>
          <w:rStyle w:val="FootnoteReference"/>
        </w:rPr>
        <w:footnoteReference w:id="40"/>
      </w:r>
      <w:r>
        <w:t xml:space="preserve"> SWEPCO excepts to this recommendation.</w:t>
      </w:r>
      <w:r w:rsidRPr="002146D8">
        <w:rPr>
          <w:rStyle w:val="FootnoteReference"/>
        </w:rPr>
        <w:footnoteReference w:id="41"/>
      </w:r>
      <w:r>
        <w:t xml:space="preserve"> However, SWEPCO’s arguments do not have a reasonable basis</w:t>
      </w:r>
      <w:r w:rsidR="001B6A83">
        <w:t xml:space="preserve"> in</w:t>
      </w:r>
      <w:r>
        <w:t xml:space="preserve"> law, policy, or fact and are not warranted by any reasonable argument for the reversal of existing Commission precedent.</w:t>
      </w:r>
    </w:p>
    <w:p w:rsidR="002146D8" w:rsidRDefault="002146D8" w:rsidP="002146D8">
      <w:r>
        <w:t xml:space="preserve">SWEPCO’s arguments are conclusively addressed in the PFD, and Staff need not repeat </w:t>
      </w:r>
      <w:r w:rsidR="001B6A83">
        <w:t xml:space="preserve">each of them </w:t>
      </w:r>
      <w:r>
        <w:t>here. In principle, Staff responds to SWEPCO’s claims that the PFD’s recommendation would violate the filed rate doctrine</w:t>
      </w:r>
      <w:r w:rsidRPr="002146D8">
        <w:rPr>
          <w:rStyle w:val="FootnoteReference"/>
        </w:rPr>
        <w:footnoteReference w:id="42"/>
      </w:r>
      <w:r>
        <w:t xml:space="preserve"> and do not permit SWEPCO to recover the actual cost incurred under the SPP OATT in providing transmission service.</w:t>
      </w:r>
      <w:r w:rsidRPr="00A47B48">
        <w:rPr>
          <w:rStyle w:val="StyleSuperscript"/>
        </w:rPr>
        <w:footnoteReference w:id="43"/>
      </w:r>
      <w:r>
        <w:t xml:space="preserve"> Both of these claims are false because the PFD recommends that SWEPCO’s expenses under the SPP OATT should be passed-through to retail customers,</w:t>
      </w:r>
      <w:r w:rsidRPr="002146D8">
        <w:rPr>
          <w:rStyle w:val="FootnoteReference"/>
        </w:rPr>
        <w:footnoteReference w:id="44"/>
      </w:r>
      <w:r>
        <w:t xml:space="preserve"> a fact that SWEPCO’s own exceptions acknowledge.</w:t>
      </w:r>
      <w:r w:rsidRPr="002146D8">
        <w:rPr>
          <w:rStyle w:val="FootnoteReference"/>
        </w:rPr>
        <w:footnoteReference w:id="45"/>
      </w:r>
    </w:p>
    <w:p w:rsidR="002146D8" w:rsidRDefault="002146D8" w:rsidP="002146D8">
      <w:r>
        <w:t xml:space="preserve">Indeed, it is the PFD that would give </w:t>
      </w:r>
      <w:r w:rsidRPr="00D84BD1">
        <w:rPr>
          <w:rStyle w:val="Strong"/>
          <w:b w:val="0"/>
        </w:rPr>
        <w:t>full effect</w:t>
      </w:r>
      <w:r>
        <w:t xml:space="preserve"> to the SPP OATT in setting Texas retail rates. The PFD notes: “[T]he Commission’s current methodology complies with the filed rate doctrine and PURA § 32.209(b) by recognizing in Texas retail rates the payments SWEPCO </w:t>
      </w:r>
      <w:r>
        <w:rPr>
          <w:rStyle w:val="Emphasis"/>
        </w:rPr>
        <w:t>makes to third parties</w:t>
      </w:r>
      <w:r>
        <w:t xml:space="preserve"> under the SPP OATT for use of their transmission systems, as well as the revenues that SWEPCO </w:t>
      </w:r>
      <w:r>
        <w:rPr>
          <w:rStyle w:val="Emphasis"/>
        </w:rPr>
        <w:t>receives from third parties</w:t>
      </w:r>
      <w:r>
        <w:t xml:space="preserve"> for the use of [SWEPCO’s] transmission system.”</w:t>
      </w:r>
      <w:r w:rsidRPr="002146D8">
        <w:rPr>
          <w:rStyle w:val="StyleSuperscript"/>
        </w:rPr>
        <w:footnoteReference w:id="46"/>
      </w:r>
      <w:r>
        <w:t xml:space="preserve"> When these two pass-through amounts are “combined with the Commission’s determination of SWEPCO’s transmission invested capital,” the ALJs find that “SWEPCO is provided a reasonable opportunity to earn the rate of return allowed by the Commission.”</w:t>
      </w:r>
      <w:r w:rsidRPr="002146D8">
        <w:rPr>
          <w:rStyle w:val="StyleSuperscript"/>
        </w:rPr>
        <w:footnoteReference w:id="47"/>
      </w:r>
    </w:p>
    <w:p w:rsidR="004027AF" w:rsidRPr="00D84BD1" w:rsidRDefault="004027AF" w:rsidP="00A650D0">
      <w:pPr>
        <w:pStyle w:val="Heading2"/>
      </w:pPr>
      <w:bookmarkStart w:id="7" w:name="_Toc496908576"/>
      <w:r w:rsidRPr="00D84BD1">
        <w:lastRenderedPageBreak/>
        <w:t>G.</w:t>
      </w:r>
      <w:r w:rsidRPr="00D84BD1">
        <w:tab/>
        <w:t>Transmission and Distribution Capital Projects</w:t>
      </w:r>
      <w:bookmarkEnd w:id="7"/>
    </w:p>
    <w:p w:rsidR="004027AF" w:rsidRPr="00D84BD1" w:rsidRDefault="004027AF" w:rsidP="00A650D0">
      <w:pPr>
        <w:pStyle w:val="Heading3"/>
      </w:pPr>
      <w:bookmarkStart w:id="8" w:name="_Toc496908577"/>
      <w:r w:rsidRPr="00D84BD1">
        <w:t>1.</w:t>
      </w:r>
      <w:r w:rsidRPr="00D84BD1">
        <w:tab/>
        <w:t>Capitalized Vegetation Management Costs</w:t>
      </w:r>
      <w:bookmarkEnd w:id="8"/>
    </w:p>
    <w:p w:rsidR="00C36461" w:rsidRDefault="001C43F0" w:rsidP="00A650D0">
      <w:r w:rsidRPr="001C43F0">
        <w:t>The PFD correctly found that SWEPCO should not be permitted to capitalize vegetation management costs incurred after the initial clearing of a right-of-way.</w:t>
      </w:r>
      <w:r w:rsidRPr="001C43F0">
        <w:rPr>
          <w:rStyle w:val="FootnoteReference"/>
        </w:rPr>
        <w:footnoteReference w:id="48"/>
      </w:r>
      <w:r w:rsidRPr="001C43F0">
        <w:t xml:space="preserve"> </w:t>
      </w:r>
      <w:r w:rsidR="00A650D0" w:rsidRPr="001C43F0">
        <w:t>SWEPCO disagrees with the PFD</w:t>
      </w:r>
      <w:r w:rsidRPr="001C43F0">
        <w:t>,</w:t>
      </w:r>
      <w:r w:rsidR="00A650D0" w:rsidRPr="001C43F0">
        <w:t xml:space="preserve"> </w:t>
      </w:r>
      <w:r w:rsidRPr="001C43F0">
        <w:t>arguing</w:t>
      </w:r>
      <w:r w:rsidR="00A650D0" w:rsidRPr="001C43F0">
        <w:t xml:space="preserve"> that it did not have adequate notice </w:t>
      </w:r>
      <w:r w:rsidRPr="001C43F0">
        <w:t>of the Commission’s view</w:t>
      </w:r>
      <w:r w:rsidR="00A650D0" w:rsidRPr="001C43F0">
        <w:t xml:space="preserve"> of certain post-initial clearing vegetation management costs.</w:t>
      </w:r>
      <w:r w:rsidR="00A650D0" w:rsidRPr="001C43F0">
        <w:rPr>
          <w:rStyle w:val="FootnoteReference"/>
        </w:rPr>
        <w:footnoteReference w:id="49"/>
      </w:r>
      <w:r w:rsidR="00A650D0" w:rsidRPr="001C43F0">
        <w:t xml:space="preserve"> </w:t>
      </w:r>
      <w:r w:rsidR="00C36461">
        <w:t>First, the PFD notes that “SWEPCO clearly was on notice that other parties (including Staff) objected to its capitalization treatment.”</w:t>
      </w:r>
      <w:r w:rsidR="00C36461">
        <w:rPr>
          <w:rStyle w:val="FootnoteReference"/>
        </w:rPr>
        <w:footnoteReference w:id="50"/>
      </w:r>
      <w:r w:rsidR="00C36461">
        <w:t xml:space="preserve"> Further</w:t>
      </w:r>
      <w:r>
        <w:t>, i</w:t>
      </w:r>
      <w:r w:rsidR="00A650D0" w:rsidRPr="001C43F0">
        <w:t xml:space="preserve">t would be unreasonable to </w:t>
      </w:r>
      <w:r>
        <w:t>modify</w:t>
      </w:r>
      <w:r w:rsidRPr="001C43F0">
        <w:t xml:space="preserve"> </w:t>
      </w:r>
      <w:r w:rsidR="00A650D0" w:rsidRPr="001C43F0">
        <w:t xml:space="preserve">the </w:t>
      </w:r>
      <w:r>
        <w:t xml:space="preserve">PFD’s correct conclusions </w:t>
      </w:r>
      <w:r w:rsidR="00A650D0" w:rsidRPr="001C43F0">
        <w:t xml:space="preserve">simply because SWEPCO has </w:t>
      </w:r>
      <w:r w:rsidR="00C36461">
        <w:t xml:space="preserve">used a contrary </w:t>
      </w:r>
      <w:r w:rsidR="00A650D0" w:rsidRPr="001C43F0">
        <w:t>policy for a number of years.</w:t>
      </w:r>
      <w:r w:rsidR="00497AC2" w:rsidRPr="001C43F0">
        <w:t xml:space="preserve"> </w:t>
      </w:r>
    </w:p>
    <w:p w:rsidR="00A650D0" w:rsidRPr="001C43F0" w:rsidRDefault="00A650D0" w:rsidP="00A650D0">
      <w:r w:rsidRPr="001C43F0">
        <w:t xml:space="preserve">Even if SWEPCO had </w:t>
      </w:r>
      <w:r w:rsidR="00C36461">
        <w:t>better appreciated the Commission’s recent precedent on this issue</w:t>
      </w:r>
      <w:r w:rsidRPr="001C43F0">
        <w:t xml:space="preserve">, </w:t>
      </w:r>
      <w:r w:rsidR="002C292C">
        <w:t>the Commission’s precedent</w:t>
      </w:r>
      <w:r w:rsidRPr="001C43F0">
        <w:t xml:space="preserve"> should not have affected </w:t>
      </w:r>
      <w:r w:rsidR="002C292C">
        <w:t>SWEPCO’s</w:t>
      </w:r>
      <w:r w:rsidR="002C292C" w:rsidRPr="001C43F0">
        <w:t xml:space="preserve"> </w:t>
      </w:r>
      <w:r w:rsidRPr="001C43F0">
        <w:t xml:space="preserve">actual spending on these necessary clearing costs. </w:t>
      </w:r>
      <w:r w:rsidR="00C36461" w:rsidRPr="001C43F0">
        <w:t xml:space="preserve">Staff </w:t>
      </w:r>
      <w:r w:rsidR="00C36461">
        <w:t>does not challenge</w:t>
      </w:r>
      <w:r w:rsidR="00C36461" w:rsidRPr="001C43F0">
        <w:t xml:space="preserve"> these costs </w:t>
      </w:r>
      <w:r w:rsidR="00C36461">
        <w:t>as im</w:t>
      </w:r>
      <w:r w:rsidR="00C36461" w:rsidRPr="001C43F0">
        <w:t xml:space="preserve">prudent, but </w:t>
      </w:r>
      <w:r w:rsidR="00C36461">
        <w:t>rather Staff and the PFD support their recovery as an annual expense instead of as a capital cost</w:t>
      </w:r>
      <w:r w:rsidR="00C36461" w:rsidRPr="001C43F0">
        <w:t>.</w:t>
      </w:r>
      <w:r w:rsidR="00C36461">
        <w:rPr>
          <w:rStyle w:val="FootnoteReference"/>
        </w:rPr>
        <w:footnoteReference w:id="51"/>
      </w:r>
      <w:r w:rsidR="00C36461" w:rsidRPr="001C43F0">
        <w:t xml:space="preserve"> </w:t>
      </w:r>
      <w:r w:rsidRPr="001C43F0">
        <w:t xml:space="preserve">For that reason, </w:t>
      </w:r>
      <w:r w:rsidR="00C36461">
        <w:t xml:space="preserve">there is no need for </w:t>
      </w:r>
      <w:r w:rsidRPr="001C43F0">
        <w:t xml:space="preserve">a transition period or a regulatory asset for the recovery of </w:t>
      </w:r>
      <w:r w:rsidR="00003860">
        <w:t xml:space="preserve">expenditures </w:t>
      </w:r>
      <w:r w:rsidR="00C36461">
        <w:t>that will also be recovered as an annual expense</w:t>
      </w:r>
      <w:r w:rsidRPr="001C43F0">
        <w:t>.</w:t>
      </w:r>
      <w:r w:rsidRPr="001C43F0">
        <w:rPr>
          <w:rStyle w:val="FootnoteReference"/>
        </w:rPr>
        <w:footnoteReference w:id="52"/>
      </w:r>
    </w:p>
    <w:p w:rsidR="00003860" w:rsidRDefault="00A650D0" w:rsidP="00CB5DD7">
      <w:r w:rsidRPr="001C43F0">
        <w:t xml:space="preserve">Staff does agree that some clarity </w:t>
      </w:r>
      <w:r w:rsidR="001C43F0">
        <w:t>should</w:t>
      </w:r>
      <w:r w:rsidRPr="001C43F0">
        <w:t xml:space="preserve"> be provided regarding the classification of the specific amounts</w:t>
      </w:r>
      <w:r w:rsidR="00FE6FEC">
        <w:t xml:space="preserve"> to be disallowed</w:t>
      </w:r>
      <w:r w:rsidRPr="001C43F0">
        <w:t>.</w:t>
      </w:r>
      <w:r w:rsidR="00497AC2" w:rsidRPr="001C43F0">
        <w:t xml:space="preserve"> </w:t>
      </w:r>
      <w:r w:rsidRPr="001C43F0">
        <w:t>The PFD says that $1,330,062 for transmission and $3,236,057 for distribution are amounts incurred prior to the test year to be excluded from rate base.</w:t>
      </w:r>
      <w:r w:rsidRPr="001C43F0">
        <w:rPr>
          <w:rStyle w:val="FootnoteReference"/>
        </w:rPr>
        <w:footnoteReference w:id="53"/>
      </w:r>
      <w:r w:rsidR="00497AC2" w:rsidRPr="001C43F0">
        <w:t xml:space="preserve"> </w:t>
      </w:r>
      <w:r w:rsidRPr="001C43F0">
        <w:t>This amount is properly removed from rate base, but it includes both test year and prior test year time periods.</w:t>
      </w:r>
      <w:r w:rsidR="00497AC2" w:rsidRPr="001C43F0">
        <w:t xml:space="preserve"> </w:t>
      </w:r>
      <w:r w:rsidR="00003860">
        <w:t>Therefore, the phrase “Prior to the test year,” should be removed from Proposed Finding of Fact No. 110.</w:t>
      </w:r>
    </w:p>
    <w:p w:rsidR="004027AF" w:rsidRDefault="00A650D0" w:rsidP="00CB5DD7">
      <w:r w:rsidRPr="001C43F0">
        <w:lastRenderedPageBreak/>
        <w:t xml:space="preserve">Additionally, </w:t>
      </w:r>
      <w:r w:rsidR="00003860">
        <w:t xml:space="preserve">SWEPCO contends that </w:t>
      </w:r>
      <w:r w:rsidRPr="001C43F0">
        <w:t>the</w:t>
      </w:r>
      <w:r w:rsidR="00003860">
        <w:t xml:space="preserve"> additional</w:t>
      </w:r>
      <w:r w:rsidRPr="001C43F0">
        <w:t xml:space="preserve"> adjustments recommended by Mr. Ianni of $68,677 and $474,699 </w:t>
      </w:r>
      <w:r w:rsidR="00003860">
        <w:t>are already part of Mr. Smithson’s proposed disallowances and should not be double removed from invested capital.</w:t>
      </w:r>
      <w:r w:rsidR="00003860">
        <w:rPr>
          <w:rStyle w:val="FootnoteReference"/>
        </w:rPr>
        <w:footnoteReference w:id="54"/>
      </w:r>
      <w:r w:rsidR="00003860">
        <w:t xml:space="preserve"> Staff’s witnesses relied on a SWEPCO discovery response</w:t>
      </w:r>
      <w:r w:rsidR="00003860">
        <w:rPr>
          <w:rStyle w:val="FootnoteReference"/>
        </w:rPr>
        <w:footnoteReference w:id="55"/>
      </w:r>
      <w:r w:rsidR="00003860">
        <w:t xml:space="preserve"> </w:t>
      </w:r>
      <w:r w:rsidR="001D3D78">
        <w:t>that</w:t>
      </w:r>
      <w:r w:rsidR="00003860">
        <w:t xml:space="preserve"> did not explicitly show that the adjustments identified by Mr. Ianni were components of the capitalized vegetation management costs identified in SWEPCO’s direct testimony.</w:t>
      </w:r>
      <w:r w:rsidR="00003860">
        <w:rPr>
          <w:rStyle w:val="FootnoteReference"/>
        </w:rPr>
        <w:footnoteReference w:id="56"/>
      </w:r>
      <w:r w:rsidR="00003860">
        <w:t xml:space="preserve"> If this number is actually included in the test year amount, it should not be removed an additional time.</w:t>
      </w:r>
      <w:r w:rsidR="00EC4C40">
        <w:t xml:space="preserve"> However, SWEPCO has not clearly shown that Mr. Ianni’s adjustments are duplicative.</w:t>
      </w:r>
    </w:p>
    <w:p w:rsidR="00A650D0" w:rsidRPr="00242F83" w:rsidRDefault="00A650D0" w:rsidP="00A650D0">
      <w:pPr>
        <w:pStyle w:val="Heading2"/>
      </w:pPr>
      <w:bookmarkStart w:id="9" w:name="_Toc496908578"/>
      <w:r w:rsidRPr="00242F83">
        <w:t>L.</w:t>
      </w:r>
      <w:r w:rsidRPr="00242F83">
        <w:tab/>
        <w:t>Cash Working Capital</w:t>
      </w:r>
      <w:bookmarkEnd w:id="9"/>
    </w:p>
    <w:p w:rsidR="000B2D95" w:rsidRPr="00242F83" w:rsidRDefault="00A650D0" w:rsidP="000B2D95">
      <w:pPr>
        <w:rPr>
          <w:color w:val="FFFFFF" w:themeColor="background1"/>
        </w:rPr>
      </w:pPr>
      <w:r w:rsidRPr="00242F83">
        <w:t xml:space="preserve">Staff agrees with SWEPCO’s exception </w:t>
      </w:r>
      <w:r w:rsidR="00242F83">
        <w:t>on the issue of cash working capital (CWC),</w:t>
      </w:r>
      <w:r w:rsidR="00003860">
        <w:t xml:space="preserve"> </w:t>
      </w:r>
      <w:r w:rsidR="000D1A6F">
        <w:t xml:space="preserve">as </w:t>
      </w:r>
      <w:r w:rsidR="00C21E6F">
        <w:t>it will be</w:t>
      </w:r>
      <w:r w:rsidRPr="00242F83">
        <w:t xml:space="preserve"> necessary</w:t>
      </w:r>
      <w:r w:rsidR="00C21E6F">
        <w:t xml:space="preserve"> for the approved CWC amount</w:t>
      </w:r>
      <w:r w:rsidRPr="00242F83">
        <w:t xml:space="preserve"> to be synchronized with the final Commission</w:t>
      </w:r>
      <w:r w:rsidR="00C21E6F">
        <w:t>-</w:t>
      </w:r>
      <w:r w:rsidRPr="00242F83">
        <w:t>approved revenue requirement.</w:t>
      </w:r>
      <w:r w:rsidR="00C21E6F">
        <w:rPr>
          <w:rStyle w:val="FootnoteReference"/>
        </w:rPr>
        <w:footnoteReference w:id="57"/>
      </w:r>
      <w:r w:rsidR="00497AC2" w:rsidRPr="00242F83">
        <w:t xml:space="preserve"> </w:t>
      </w:r>
      <w:r w:rsidRPr="00242F83">
        <w:t>Because Staff and SWEPCO had differing</w:t>
      </w:r>
      <w:r w:rsidR="00C21E6F">
        <w:t xml:space="preserve"> operations and maintenance</w:t>
      </w:r>
      <w:r w:rsidRPr="00242F83">
        <w:t xml:space="preserve"> expenses and taxes, different CWC figures were reached.</w:t>
      </w:r>
      <w:r w:rsidR="00497AC2" w:rsidRPr="00242F83">
        <w:t xml:space="preserve"> </w:t>
      </w:r>
      <w:r w:rsidR="0006160A">
        <w:t>Proposed Finding of F</w:t>
      </w:r>
      <w:r w:rsidRPr="00242F83">
        <w:t>act</w:t>
      </w:r>
      <w:r w:rsidR="00C21E6F">
        <w:t xml:space="preserve"> No.</w:t>
      </w:r>
      <w:r w:rsidRPr="00242F83">
        <w:t xml:space="preserve"> 154 should be </w:t>
      </w:r>
      <w:r w:rsidR="00C21E6F">
        <w:t>modified</w:t>
      </w:r>
      <w:r w:rsidR="00C21E6F" w:rsidRPr="00242F83">
        <w:t xml:space="preserve"> </w:t>
      </w:r>
      <w:r w:rsidRPr="00242F83">
        <w:t>to reflect that the methodology of the CWC calculation was reasonable and the exact adjustment to CWC should reflect using SWEPCO’s methodology with the Commission’s determination of the value of the inputs.</w:t>
      </w:r>
    </w:p>
    <w:p w:rsidR="00623F9E" w:rsidRPr="00CA73CF" w:rsidRDefault="00651B6B" w:rsidP="004B0517">
      <w:pPr>
        <w:pStyle w:val="Heading1"/>
      </w:pPr>
      <w:bookmarkStart w:id="10" w:name="_Toc496908579"/>
      <w:r w:rsidRPr="00CA73CF">
        <w:t>VI</w:t>
      </w:r>
      <w:r w:rsidR="009B3799" w:rsidRPr="00CA73CF">
        <w:t xml:space="preserve">. </w:t>
      </w:r>
      <w:r w:rsidR="00623F9E" w:rsidRPr="00CA73CF">
        <w:t>Rate of Return</w:t>
      </w:r>
      <w:bookmarkEnd w:id="10"/>
    </w:p>
    <w:p w:rsidR="00623F9E" w:rsidRPr="00497AC2" w:rsidRDefault="005745B6" w:rsidP="005745B6">
      <w:pPr>
        <w:pStyle w:val="Heading2"/>
      </w:pPr>
      <w:bookmarkStart w:id="11" w:name="_Toc496908580"/>
      <w:r w:rsidRPr="00CA73CF">
        <w:t>A.</w:t>
      </w:r>
      <w:r w:rsidRPr="00CA73CF">
        <w:tab/>
      </w:r>
      <w:r w:rsidR="00623F9E" w:rsidRPr="00CA73CF">
        <w:t>Return on Equity</w:t>
      </w:r>
      <w:bookmarkEnd w:id="11"/>
    </w:p>
    <w:p w:rsidR="00CB5DD7" w:rsidRPr="00497AC2" w:rsidRDefault="00CB5DD7" w:rsidP="00CB5DD7">
      <w:r w:rsidRPr="00497AC2">
        <w:t xml:space="preserve">It should be unsurprising that the PFD recommends a </w:t>
      </w:r>
      <w:r w:rsidR="000F3C0D">
        <w:t>ROE</w:t>
      </w:r>
      <w:r w:rsidRPr="00497AC2">
        <w:t xml:space="preserve"> that matches the lowest ROE awarded by this Commission in the last 10 years.</w:t>
      </w:r>
      <w:r w:rsidRPr="00497AC2">
        <w:rPr>
          <w:rStyle w:val="FootnoteReference"/>
        </w:rPr>
        <w:footnoteReference w:id="58"/>
      </w:r>
      <w:r w:rsidR="00497AC2">
        <w:t xml:space="preserve"> </w:t>
      </w:r>
      <w:r w:rsidRPr="00497AC2">
        <w:t>Investor expectations, as explained by SWEPCO witness Robert Hevert, are at historic lows.</w:t>
      </w:r>
      <w:r w:rsidRPr="00497AC2">
        <w:rPr>
          <w:rStyle w:val="FootnoteReference"/>
        </w:rPr>
        <w:footnoteReference w:id="59"/>
      </w:r>
      <w:r w:rsidR="00497AC2">
        <w:t xml:space="preserve"> </w:t>
      </w:r>
      <w:r w:rsidRPr="00497AC2">
        <w:t xml:space="preserve">Mr. Hevert attributes these low investor </w:t>
      </w:r>
      <w:r w:rsidRPr="00497AC2">
        <w:lastRenderedPageBreak/>
        <w:t>expectations to a “reach for yield” that occurs during periods of low Treasury yields.</w:t>
      </w:r>
      <w:r w:rsidRPr="00497AC2">
        <w:rPr>
          <w:rStyle w:val="FootnoteReference"/>
        </w:rPr>
        <w:footnoteReference w:id="60"/>
      </w:r>
      <w:r w:rsidR="00497AC2">
        <w:t xml:space="preserve"> </w:t>
      </w:r>
      <w:r w:rsidRPr="00497AC2">
        <w:t>While SWEPCO argues that these low expectations should be disregarded as temporary,</w:t>
      </w:r>
      <w:r w:rsidRPr="00497AC2">
        <w:rPr>
          <w:rStyle w:val="FootnoteReference"/>
        </w:rPr>
        <w:footnoteReference w:id="61"/>
      </w:r>
      <w:r w:rsidRPr="00497AC2">
        <w:t xml:space="preserve"> the longevity of these low expectations suggests otherwise. SWEPCO observes that FERC addressed this phenomenon in 2014.</w:t>
      </w:r>
      <w:r w:rsidRPr="00497AC2">
        <w:rPr>
          <w:rStyle w:val="FootnoteReference"/>
        </w:rPr>
        <w:footnoteReference w:id="62"/>
      </w:r>
      <w:r w:rsidR="00497AC2">
        <w:t xml:space="preserve"> </w:t>
      </w:r>
      <w:r w:rsidRPr="00497AC2">
        <w:t>In 2017, three years later, investors are still reaching for yield.</w:t>
      </w:r>
      <w:r w:rsidRPr="00497AC2">
        <w:rPr>
          <w:rStyle w:val="FootnoteReference"/>
        </w:rPr>
        <w:footnoteReference w:id="63"/>
      </w:r>
      <w:r w:rsidR="00497AC2">
        <w:t xml:space="preserve"> </w:t>
      </w:r>
    </w:p>
    <w:p w:rsidR="00CB5DD7" w:rsidRPr="00497AC2" w:rsidRDefault="00CB5DD7" w:rsidP="00CB5DD7">
      <w:r w:rsidRPr="00497AC2">
        <w:t>As a matter of policy, SWEPCO’s ROE should be determined based on current investor expectations.</w:t>
      </w:r>
      <w:r w:rsidR="00497AC2">
        <w:t xml:space="preserve"> </w:t>
      </w:r>
      <w:r w:rsidRPr="00497AC2">
        <w:t xml:space="preserve">As explained in </w:t>
      </w:r>
      <w:r w:rsidRPr="00497AC2">
        <w:rPr>
          <w:i/>
        </w:rPr>
        <w:t>Bluefield Water Works &amp; Improvement Company v. Public Service Commission of West Virginia</w:t>
      </w:r>
      <w:r w:rsidRPr="00497AC2">
        <w:t>, a utility’s ROE should be fixed at the amount necessary “to maintain and support its credit and raise the money necessary for the proper discharge of its public duties.”</w:t>
      </w:r>
      <w:r w:rsidRPr="00497AC2">
        <w:rPr>
          <w:rStyle w:val="FootnoteReference"/>
        </w:rPr>
        <w:footnoteReference w:id="64"/>
      </w:r>
      <w:r w:rsidR="00497AC2">
        <w:t xml:space="preserve"> </w:t>
      </w:r>
      <w:r w:rsidRPr="00497AC2">
        <w:t>As SWEPCO’s credit rating and capital activities are occurring under the</w:t>
      </w:r>
      <w:r w:rsidR="000D1A6F">
        <w:t xml:space="preserve"> current</w:t>
      </w:r>
      <w:r w:rsidRPr="00497AC2">
        <w:t xml:space="preserve"> market conditions, SWEPCO’s ROE should be set under these same conditions.</w:t>
      </w:r>
      <w:r w:rsidR="00497AC2">
        <w:t xml:space="preserve"> </w:t>
      </w:r>
      <w:r w:rsidRPr="00497AC2">
        <w:t>If market conditions substantively worsen in the future, SWEPCO is free to file a new rate case.</w:t>
      </w:r>
      <w:r w:rsidR="00497AC2">
        <w:t xml:space="preserve"> </w:t>
      </w:r>
    </w:p>
    <w:p w:rsidR="00CB5DD7" w:rsidRPr="00497AC2" w:rsidRDefault="00CB5DD7" w:rsidP="00CB5DD7">
      <w:r w:rsidRPr="00497AC2">
        <w:t>Staff also disagrees with SWEPCO’s assertion that the PFD’s recommended ROE is unreasonably low.</w:t>
      </w:r>
      <w:r w:rsidR="00497AC2">
        <w:t xml:space="preserve"> </w:t>
      </w:r>
      <w:r w:rsidRPr="00497AC2">
        <w:t>The reasonableness of the PFD’s 9.6% ROE is actually supported by Mr. Hevert’s discounted cash flow (DCF) results:</w:t>
      </w:r>
      <w:r w:rsidRPr="00497AC2">
        <w:rPr>
          <w:rStyle w:val="FootnoteReference"/>
        </w:rPr>
        <w:footnoteReference w:id="65"/>
      </w:r>
    </w:p>
    <w:p w:rsidR="00CB5DD7" w:rsidRPr="00497AC2" w:rsidRDefault="00CB5DD7" w:rsidP="00CB5DD7">
      <w:r w:rsidRPr="00497AC2">
        <w:rPr>
          <w:noProof/>
        </w:rPr>
        <w:lastRenderedPageBreak/>
        <w:drawing>
          <wp:inline distT="0" distB="0" distL="0" distR="0" wp14:anchorId="1D3C1A8D" wp14:editId="25D351B7">
            <wp:extent cx="4648200" cy="34101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CF 2.PNG"/>
                    <pic:cNvPicPr/>
                  </pic:nvPicPr>
                  <pic:blipFill>
                    <a:blip r:embed="rId9">
                      <a:extLst>
                        <a:ext uri="{28A0092B-C50C-407E-A947-70E740481C1C}">
                          <a14:useLocalDpi xmlns:a14="http://schemas.microsoft.com/office/drawing/2010/main" val="0"/>
                        </a:ext>
                      </a:extLst>
                    </a:blip>
                    <a:stretch>
                      <a:fillRect/>
                    </a:stretch>
                  </pic:blipFill>
                  <pic:spPr>
                    <a:xfrm>
                      <a:off x="0" y="0"/>
                      <a:ext cx="4657956" cy="3417327"/>
                    </a:xfrm>
                    <a:prstGeom prst="rect">
                      <a:avLst/>
                    </a:prstGeom>
                  </pic:spPr>
                </pic:pic>
              </a:graphicData>
            </a:graphic>
          </wp:inline>
        </w:drawing>
      </w:r>
    </w:p>
    <w:p w:rsidR="00CB5DD7" w:rsidRPr="00CB5DD7" w:rsidRDefault="00CB5DD7" w:rsidP="00CB5DD7">
      <w:pPr>
        <w:rPr>
          <w:highlight w:val="lightGray"/>
        </w:rPr>
      </w:pPr>
      <w:r w:rsidRPr="00497AC2">
        <w:t xml:space="preserve">As seen above, the PFD’s recommendation of 9.6% is substantially higher than any of the mean growth rates calculated by </w:t>
      </w:r>
      <w:r w:rsidR="000D1A6F">
        <w:t>Mr. Hevert’s</w:t>
      </w:r>
      <w:r w:rsidR="000D1A6F" w:rsidRPr="00497AC2">
        <w:t xml:space="preserve"> </w:t>
      </w:r>
      <w:r w:rsidRPr="00497AC2">
        <w:t>various discounted cash flow models.</w:t>
      </w:r>
      <w:r w:rsidRPr="00497AC2">
        <w:rPr>
          <w:rStyle w:val="FootnoteReference"/>
        </w:rPr>
        <w:footnoteReference w:id="66"/>
      </w:r>
      <w:r w:rsidR="00497AC2">
        <w:t xml:space="preserve"> </w:t>
      </w:r>
      <w:r w:rsidRPr="00497AC2">
        <w:t xml:space="preserve">In fact, the average of the mean growth rates for Mr. Hevert’s three different DCF models is only 9.01%. </w:t>
      </w:r>
      <w:r w:rsidRPr="00497AC2">
        <w:rPr>
          <w:rStyle w:val="FootnoteReference"/>
        </w:rPr>
        <w:footnoteReference w:id="67"/>
      </w:r>
      <w:r w:rsidRPr="00497AC2">
        <w:t xml:space="preserve"> This suggests that if the PFD’s recommendation is unreasonable, it is unreasonably generous to SWEPCO.</w:t>
      </w:r>
    </w:p>
    <w:p w:rsidR="00623F9E" w:rsidRPr="00C21E6F" w:rsidRDefault="00651B6B" w:rsidP="00651B6B">
      <w:pPr>
        <w:pStyle w:val="Heading1"/>
      </w:pPr>
      <w:bookmarkStart w:id="13" w:name="_Toc496908581"/>
      <w:r w:rsidRPr="00C21E6F">
        <w:t>VII</w:t>
      </w:r>
      <w:r w:rsidR="00623F9E" w:rsidRPr="00C21E6F">
        <w:t>.</w:t>
      </w:r>
      <w:r w:rsidR="00845F99" w:rsidRPr="00C21E6F">
        <w:t xml:space="preserve"> </w:t>
      </w:r>
      <w:r w:rsidR="00623F9E" w:rsidRPr="00C21E6F">
        <w:t>Operating &amp; Maintenance Expenses</w:t>
      </w:r>
      <w:bookmarkEnd w:id="13"/>
    </w:p>
    <w:p w:rsidR="00A650D0" w:rsidRPr="00C21E6F" w:rsidRDefault="00A650D0" w:rsidP="00A650D0">
      <w:pPr>
        <w:pStyle w:val="Heading2"/>
      </w:pPr>
      <w:bookmarkStart w:id="14" w:name="_Toc496908582"/>
      <w:r w:rsidRPr="00C21E6F">
        <w:t>A.</w:t>
      </w:r>
      <w:r w:rsidRPr="00C21E6F">
        <w:tab/>
        <w:t>Welsh Unit 2 O&amp;M</w:t>
      </w:r>
      <w:bookmarkEnd w:id="14"/>
    </w:p>
    <w:p w:rsidR="00A650D0" w:rsidRPr="00C21E6F" w:rsidRDefault="00A650D0" w:rsidP="00A650D0">
      <w:r w:rsidRPr="00C21E6F">
        <w:t>Staff supports SWEPCO’s exception regarding Welsh Unit 2 O&amp;M</w:t>
      </w:r>
      <w:r w:rsidR="000D1A6F">
        <w:t>.</w:t>
      </w:r>
      <w:r w:rsidR="000D1A6F" w:rsidRPr="00C21E6F">
        <w:rPr>
          <w:rStyle w:val="FootnoteReference"/>
        </w:rPr>
        <w:footnoteReference w:id="68"/>
      </w:r>
      <w:r w:rsidR="000D1A6F" w:rsidRPr="00C21E6F">
        <w:t xml:space="preserve"> </w:t>
      </w:r>
      <w:r w:rsidR="000D1A6F">
        <w:t>T</w:t>
      </w:r>
      <w:r w:rsidRPr="00C21E6F">
        <w:t xml:space="preserve">he PFD should be adjusted to reflect </w:t>
      </w:r>
      <w:r w:rsidR="000D1A6F">
        <w:t>the ALJs’</w:t>
      </w:r>
      <w:r w:rsidRPr="00C21E6F">
        <w:t xml:space="preserve"> own conclusion that Staff’s adjustment should be implemented, </w:t>
      </w:r>
      <w:r w:rsidRPr="00C21E6F">
        <w:lastRenderedPageBreak/>
        <w:t>resulting in a reduction of $332,493.</w:t>
      </w:r>
      <w:r w:rsidRPr="00C21E6F">
        <w:rPr>
          <w:rStyle w:val="FootnoteReference"/>
        </w:rPr>
        <w:footnoteReference w:id="69"/>
      </w:r>
      <w:r w:rsidR="00497AC2" w:rsidRPr="00C21E6F">
        <w:t xml:space="preserve"> </w:t>
      </w:r>
      <w:r w:rsidRPr="00C21E6F">
        <w:t xml:space="preserve">Staff also </w:t>
      </w:r>
      <w:r w:rsidR="00C21E6F">
        <w:t xml:space="preserve">agrees with SWEPCO that </w:t>
      </w:r>
      <w:r w:rsidR="0006160A">
        <w:t>Proposed Finding of F</w:t>
      </w:r>
      <w:r w:rsidR="00C21E6F">
        <w:t>act No. 173 should be deleted, consistent with the PFD’s narrative recommendations.</w:t>
      </w:r>
      <w:r w:rsidR="00C21E6F">
        <w:rPr>
          <w:rStyle w:val="FootnoteReference"/>
        </w:rPr>
        <w:footnoteReference w:id="70"/>
      </w:r>
    </w:p>
    <w:p w:rsidR="00A650D0" w:rsidRPr="00C21E6F" w:rsidRDefault="00A650D0" w:rsidP="00A650D0">
      <w:pPr>
        <w:pStyle w:val="Heading2"/>
      </w:pPr>
      <w:bookmarkStart w:id="15" w:name="_Toc496908583"/>
      <w:r w:rsidRPr="00C21E6F">
        <w:t>E.</w:t>
      </w:r>
      <w:r w:rsidRPr="00C21E6F">
        <w:tab/>
        <w:t>Incentive Compensation</w:t>
      </w:r>
      <w:bookmarkEnd w:id="15"/>
    </w:p>
    <w:p w:rsidR="00A650D0" w:rsidRPr="00C21E6F" w:rsidRDefault="00A650D0" w:rsidP="00A650D0">
      <w:r w:rsidRPr="00C21E6F">
        <w:t>Staff supports the PFD’s decision to reduce the proposed incentive compensation amount by 75% due to financial triggers.</w:t>
      </w:r>
      <w:r w:rsidRPr="00C21E6F">
        <w:rPr>
          <w:rStyle w:val="FootnoteReference"/>
        </w:rPr>
        <w:footnoteReference w:id="71"/>
      </w:r>
      <w:r w:rsidR="00497AC2" w:rsidRPr="00C21E6F">
        <w:t xml:space="preserve"> </w:t>
      </w:r>
      <w:r w:rsidR="00761896">
        <w:t xml:space="preserve">The </w:t>
      </w:r>
      <w:r w:rsidRPr="00C21E6F">
        <w:t>O</w:t>
      </w:r>
      <w:r w:rsidR="00761896">
        <w:t xml:space="preserve">ffice of </w:t>
      </w:r>
      <w:r w:rsidRPr="00C21E6F">
        <w:t>P</w:t>
      </w:r>
      <w:r w:rsidR="00761896">
        <w:t xml:space="preserve">ublic </w:t>
      </w:r>
      <w:r w:rsidRPr="00C21E6F">
        <w:t>U</w:t>
      </w:r>
      <w:r w:rsidR="00761896">
        <w:t xml:space="preserve">tility </w:t>
      </w:r>
      <w:r w:rsidRPr="00C21E6F">
        <w:t>C</w:t>
      </w:r>
      <w:r w:rsidR="00761896">
        <w:t>ounsel (OPUC)</w:t>
      </w:r>
      <w:r w:rsidRPr="00C21E6F">
        <w:t xml:space="preserve"> has also identified an additional 10% of executive compensation related to strategic planning that should be disallowed in accordance with the Commission decision in Docket </w:t>
      </w:r>
      <w:r w:rsidR="00C21E6F">
        <w:t xml:space="preserve">No. </w:t>
      </w:r>
      <w:r w:rsidRPr="00C21E6F">
        <w:t>40443.</w:t>
      </w:r>
      <w:r w:rsidRPr="00C21E6F">
        <w:rPr>
          <w:rStyle w:val="FootnoteReference"/>
        </w:rPr>
        <w:footnoteReference w:id="72"/>
      </w:r>
      <w:r w:rsidRPr="00C21E6F">
        <w:t xml:space="preserve"> This additional adjustment is supported by the precedent set in SWEPCO’s last rate case and </w:t>
      </w:r>
      <w:r w:rsidR="001502B2">
        <w:t xml:space="preserve">the Commission may reasonably </w:t>
      </w:r>
      <w:r w:rsidR="0012059C">
        <w:t>choose</w:t>
      </w:r>
      <w:r w:rsidR="001502B2">
        <w:t xml:space="preserve"> to adopt OPUC’s position.</w:t>
      </w:r>
    </w:p>
    <w:p w:rsidR="00A650D0" w:rsidRPr="00C21E6F" w:rsidRDefault="00A650D0" w:rsidP="00D84BD1">
      <w:pPr>
        <w:pStyle w:val="Heading2"/>
      </w:pPr>
      <w:bookmarkStart w:id="16" w:name="_Toc496908584"/>
      <w:r w:rsidRPr="00C21E6F">
        <w:t>J.</w:t>
      </w:r>
      <w:r w:rsidRPr="00C21E6F">
        <w:tab/>
        <w:t>Affiliate Charges</w:t>
      </w:r>
      <w:bookmarkEnd w:id="16"/>
    </w:p>
    <w:p w:rsidR="00A650D0" w:rsidRPr="00C21E6F" w:rsidRDefault="00C21E6F" w:rsidP="00A650D0">
      <w:r>
        <w:t>The PFD correctly recommends removal of the equity portion of affiliate charges paid by and received by SWEPCO.</w:t>
      </w:r>
      <w:r>
        <w:rPr>
          <w:rStyle w:val="FootnoteReference"/>
        </w:rPr>
        <w:footnoteReference w:id="73"/>
      </w:r>
      <w:r>
        <w:t xml:space="preserve"> </w:t>
      </w:r>
      <w:r w:rsidR="0078730A">
        <w:t xml:space="preserve">As </w:t>
      </w:r>
      <w:r w:rsidR="00A650D0" w:rsidRPr="00C21E6F">
        <w:t>SWEPCO acknowledges</w:t>
      </w:r>
      <w:r w:rsidR="0078730A">
        <w:t>,</w:t>
      </w:r>
      <w:r w:rsidR="00A650D0" w:rsidRPr="00C21E6F">
        <w:t xml:space="preserve"> the PFD’s adoption of Staff’s recommendation follow</w:t>
      </w:r>
      <w:r w:rsidR="0078730A">
        <w:t>s</w:t>
      </w:r>
      <w:r w:rsidR="00A650D0" w:rsidRPr="00C21E6F">
        <w:t xml:space="preserve"> the precedent set in Docket No. 43695.</w:t>
      </w:r>
      <w:r w:rsidR="00A650D0" w:rsidRPr="00C21E6F">
        <w:rPr>
          <w:rStyle w:val="FootnoteReference"/>
        </w:rPr>
        <w:footnoteReference w:id="74"/>
      </w:r>
      <w:r w:rsidR="00A650D0" w:rsidRPr="00C21E6F">
        <w:t xml:space="preserve"> SWEPCO also acknowledges that </w:t>
      </w:r>
      <w:r w:rsidR="000D1A6F">
        <w:t>this</w:t>
      </w:r>
      <w:r w:rsidR="000D1A6F" w:rsidRPr="00C21E6F">
        <w:t xml:space="preserve"> </w:t>
      </w:r>
      <w:r w:rsidR="00A650D0" w:rsidRPr="00C21E6F">
        <w:t xml:space="preserve">precedent </w:t>
      </w:r>
      <w:r w:rsidR="000D1A6F">
        <w:t>is</w:t>
      </w:r>
      <w:r w:rsidR="000D1A6F" w:rsidRPr="00C21E6F">
        <w:t xml:space="preserve"> </w:t>
      </w:r>
      <w:r w:rsidR="00A650D0" w:rsidRPr="00C21E6F">
        <w:t>relevant due to the similar facts and circumstances that also occur in this case.</w:t>
      </w:r>
      <w:r w:rsidR="00A650D0" w:rsidRPr="00C21E6F">
        <w:rPr>
          <w:rStyle w:val="FootnoteReference"/>
        </w:rPr>
        <w:footnoteReference w:id="75"/>
      </w:r>
      <w:r w:rsidR="00A650D0" w:rsidRPr="00C21E6F">
        <w:t xml:space="preserve"> SWEPCO request</w:t>
      </w:r>
      <w:r w:rsidR="000D1A6F">
        <w:t>s</w:t>
      </w:r>
      <w:r w:rsidR="00A650D0" w:rsidRPr="00C21E6F">
        <w:t xml:space="preserve"> </w:t>
      </w:r>
      <w:r w:rsidR="000D1A6F">
        <w:t xml:space="preserve">that </w:t>
      </w:r>
      <w:r w:rsidR="00A650D0" w:rsidRPr="00C21E6F">
        <w:t xml:space="preserve">the Commission </w:t>
      </w:r>
      <w:r>
        <w:t>overrule valid</w:t>
      </w:r>
      <w:r w:rsidR="00A650D0" w:rsidRPr="00C21E6F">
        <w:t xml:space="preserve"> precedent, while admitting that it did not address the equity portion of the carrying costs in question.</w:t>
      </w:r>
      <w:r w:rsidR="00A650D0" w:rsidRPr="00C21E6F">
        <w:rPr>
          <w:rStyle w:val="FootnoteReference"/>
        </w:rPr>
        <w:footnoteReference w:id="76"/>
      </w:r>
      <w:r w:rsidR="00497AC2" w:rsidRPr="00C21E6F">
        <w:t xml:space="preserve"> </w:t>
      </w:r>
      <w:r w:rsidR="00A650D0" w:rsidRPr="00C21E6F">
        <w:t xml:space="preserve">SWEPCO has failed to meet its burden of showing the reasonableness and necessity of the equity portion of the rates of return </w:t>
      </w:r>
      <w:r w:rsidR="00A650D0" w:rsidRPr="00C21E6F">
        <w:lastRenderedPageBreak/>
        <w:t>being charged to SWEPCO by affiliates, as required by PURA,</w:t>
      </w:r>
      <w:r w:rsidR="00A650D0" w:rsidRPr="00C21E6F">
        <w:rPr>
          <w:rStyle w:val="FootnoteReference"/>
        </w:rPr>
        <w:footnoteReference w:id="77"/>
      </w:r>
      <w:r w:rsidR="00A650D0" w:rsidRPr="00C21E6F">
        <w:t xml:space="preserve"> and the PFD properly concluded that neither SWEPCO witness</w:t>
      </w:r>
      <w:r w:rsidR="000D1A6F">
        <w:t>es</w:t>
      </w:r>
      <w:r w:rsidR="00A650D0" w:rsidRPr="00C21E6F">
        <w:t xml:space="preserve"> Mr. Frantz nor Mr. Ware adequately addressed this issue in their testimony.</w:t>
      </w:r>
      <w:r w:rsidR="00A650D0" w:rsidRPr="00C21E6F">
        <w:rPr>
          <w:rStyle w:val="FootnoteReference"/>
        </w:rPr>
        <w:footnoteReference w:id="78"/>
      </w:r>
    </w:p>
    <w:p w:rsidR="00A650D0" w:rsidRPr="00C21E6F" w:rsidRDefault="00A650D0" w:rsidP="00A650D0">
      <w:pPr>
        <w:pStyle w:val="Heading2"/>
      </w:pPr>
      <w:bookmarkStart w:id="17" w:name="_Toc496908585"/>
      <w:r w:rsidRPr="00C21E6F">
        <w:t>K.</w:t>
      </w:r>
      <w:r w:rsidRPr="00C21E6F">
        <w:tab/>
        <w:t>Injuries and Damages</w:t>
      </w:r>
      <w:bookmarkEnd w:id="17"/>
    </w:p>
    <w:p w:rsidR="00A14B8E" w:rsidRPr="00E20371" w:rsidRDefault="00A650D0" w:rsidP="00E20371">
      <w:r w:rsidRPr="00C21E6F">
        <w:t xml:space="preserve">Because there is an inconsistency between the </w:t>
      </w:r>
      <w:r w:rsidR="00003860">
        <w:t xml:space="preserve">Proposed </w:t>
      </w:r>
      <w:r w:rsidRPr="00C21E6F">
        <w:t>Finding of Fact Nos. 21</w:t>
      </w:r>
      <w:r w:rsidR="005E5A1A">
        <w:t>6</w:t>
      </w:r>
      <w:r w:rsidRPr="00C21E6F">
        <w:t xml:space="preserve"> and 217 and the PFD’s analysis,</w:t>
      </w:r>
      <w:r w:rsidRPr="00C21E6F">
        <w:rPr>
          <w:rStyle w:val="FootnoteReference"/>
        </w:rPr>
        <w:footnoteReference w:id="79"/>
      </w:r>
      <w:r w:rsidRPr="00C21E6F">
        <w:t xml:space="preserve"> </w:t>
      </w:r>
      <w:r w:rsidR="00C21E6F">
        <w:t xml:space="preserve">Staff </w:t>
      </w:r>
      <w:r w:rsidR="0006160A">
        <w:t>agrees that additional clarity may be required regarding</w:t>
      </w:r>
      <w:r w:rsidRPr="00C21E6F">
        <w:t xml:space="preserve"> which adjustment the ALJs</w:t>
      </w:r>
      <w:r w:rsidR="000A5936">
        <w:t>’</w:t>
      </w:r>
      <w:r w:rsidRPr="00C21E6F">
        <w:t xml:space="preserve"> recommend. Staff’s adjustment, supported in the </w:t>
      </w:r>
      <w:r w:rsidR="0006160A">
        <w:t xml:space="preserve">Proposed </w:t>
      </w:r>
      <w:r w:rsidRPr="00C21E6F">
        <w:t>Findings of Fact, is most reasonable when looking at the dearth of expenses in this category followed by a spike during the test year.</w:t>
      </w:r>
      <w:r w:rsidRPr="00C21E6F">
        <w:rPr>
          <w:rStyle w:val="FootnoteReference"/>
        </w:rPr>
        <w:footnoteReference w:id="80"/>
      </w:r>
    </w:p>
    <w:p w:rsidR="00CB5DD7" w:rsidRPr="00CA73CF" w:rsidRDefault="00CB5DD7" w:rsidP="004B0517">
      <w:pPr>
        <w:pStyle w:val="Heading1"/>
      </w:pPr>
      <w:bookmarkStart w:id="18" w:name="_Toc496908586"/>
      <w:r w:rsidRPr="00CA73CF">
        <w:t>VIII. Weather norm</w:t>
      </w:r>
      <w:r w:rsidR="006802F2">
        <w:t>a</w:t>
      </w:r>
      <w:r w:rsidRPr="00CA73CF">
        <w:t>lization</w:t>
      </w:r>
      <w:bookmarkEnd w:id="18"/>
    </w:p>
    <w:p w:rsidR="00CB5DD7" w:rsidRPr="00CB5DD7" w:rsidRDefault="00CB5DD7" w:rsidP="00CB5DD7">
      <w:r w:rsidRPr="00CA73CF">
        <w:t>The PFD correctly determined that the appropriate period for weather normalization in this proceeding is 10 years.</w:t>
      </w:r>
      <w:r w:rsidRPr="00CA73CF">
        <w:rPr>
          <w:rStyle w:val="FootnoteReference"/>
        </w:rPr>
        <w:footnoteReference w:id="81"/>
      </w:r>
      <w:r w:rsidRPr="00CA73CF">
        <w:t xml:space="preserve"> In its exceptions, SWEPCO repeats its argument from briefing that the Commission should re-examine its use of a 10-year weather normalization based on SWEPCO’s 2014 study.</w:t>
      </w:r>
      <w:r w:rsidRPr="00CA73CF">
        <w:rPr>
          <w:rStyle w:val="FootnoteReference"/>
        </w:rPr>
        <w:footnoteReference w:id="82"/>
      </w:r>
      <w:r w:rsidRPr="00CA73CF">
        <w:t xml:space="preserve"> SWEPCO argues that the shorter 10-year period leads to “more volatile” results, and is not a better period in terms of identifying weather trends, and undermines rate stability.</w:t>
      </w:r>
      <w:r w:rsidRPr="00CA73CF">
        <w:rPr>
          <w:rStyle w:val="FootnoteReference"/>
        </w:rPr>
        <w:footnoteReference w:id="83"/>
      </w:r>
      <w:r w:rsidRPr="00CA73CF">
        <w:t xml:space="preserve"> However, the purpose of the normalization adjustment is to provide a more accurate reflection of</w:t>
      </w:r>
      <w:r w:rsidR="0026120E">
        <w:t xml:space="preserve"> expected usage during the rate year</w:t>
      </w:r>
      <w:r w:rsidRPr="00CA73CF">
        <w:t xml:space="preserve">. As demonstrated in Staff’s brief, the use of a 10-year normalization period accomplishes this more effectively than SWEPCO’s proposed 30-year normalization period, precisely because of its greater sensitivity to </w:t>
      </w:r>
      <w:r w:rsidR="0026120E">
        <w:t xml:space="preserve">more </w:t>
      </w:r>
      <w:r w:rsidRPr="00CA73CF">
        <w:t>recent weather patterns.</w:t>
      </w:r>
      <w:r w:rsidRPr="00CA73CF">
        <w:rPr>
          <w:rStyle w:val="FootnoteReference"/>
        </w:rPr>
        <w:footnoteReference w:id="84"/>
      </w:r>
      <w:r w:rsidRPr="00CA73CF">
        <w:t xml:space="preserve"> </w:t>
      </w:r>
      <w:r w:rsidRPr="00CA73CF">
        <w:lastRenderedPageBreak/>
        <w:t>As shown in Docket No. 40443,</w:t>
      </w:r>
      <w:r w:rsidRPr="00CA73CF">
        <w:rPr>
          <w:rStyle w:val="FootnoteReference"/>
        </w:rPr>
        <w:footnoteReference w:id="85"/>
      </w:r>
      <w:r w:rsidRPr="00CA73CF">
        <w:t xml:space="preserve"> and</w:t>
      </w:r>
      <w:r w:rsidR="000D1A6F">
        <w:t>,</w:t>
      </w:r>
      <w:r w:rsidRPr="00CA73CF">
        <w:t xml:space="preserve"> as the PFD in this matter aptly states, the 10-year weather normalization period “accomplishes the Commission’s goal of reflecting in the rate year the most recent weather trends, regardless of whether the trends are hotter or cooler.”</w:t>
      </w:r>
      <w:r w:rsidRPr="00CA73CF">
        <w:rPr>
          <w:rStyle w:val="FootnoteReference"/>
        </w:rPr>
        <w:footnoteReference w:id="86"/>
      </w:r>
    </w:p>
    <w:p w:rsidR="00CB5DD7" w:rsidRPr="0026120E" w:rsidRDefault="00CB5DD7" w:rsidP="004B0517">
      <w:pPr>
        <w:pStyle w:val="Heading1"/>
      </w:pPr>
      <w:bookmarkStart w:id="19" w:name="_Toc496908587"/>
      <w:r w:rsidRPr="0026120E">
        <w:t>X. Cost Allocation</w:t>
      </w:r>
      <w:bookmarkEnd w:id="19"/>
    </w:p>
    <w:p w:rsidR="00CB5DD7" w:rsidRPr="0026120E" w:rsidRDefault="00CB5DD7" w:rsidP="00CB5DD7">
      <w:pPr>
        <w:pStyle w:val="Heading2"/>
      </w:pPr>
      <w:bookmarkStart w:id="20" w:name="_Toc496908588"/>
      <w:r w:rsidRPr="0026120E">
        <w:t>A.</w:t>
      </w:r>
      <w:r w:rsidRPr="0026120E">
        <w:tab/>
        <w:t>Class Allocation of Production Costs</w:t>
      </w:r>
      <w:bookmarkEnd w:id="20"/>
    </w:p>
    <w:p w:rsidR="00A60A6F" w:rsidRDefault="00CB5DD7" w:rsidP="00CB5DD7">
      <w:pPr>
        <w:spacing w:after="0"/>
      </w:pPr>
      <w:r w:rsidRPr="0026120E">
        <w:t xml:space="preserve">Both OPUC and CARD </w:t>
      </w:r>
      <w:r w:rsidR="001C1A1A">
        <w:t>except to</w:t>
      </w:r>
      <w:r w:rsidRPr="0026120E">
        <w:t xml:space="preserve"> the PFD’s recommendation to use a 1-CP system load factor</w:t>
      </w:r>
      <w:r w:rsidR="00764DDF">
        <w:t xml:space="preserve"> in calculating the Average &amp; Excess Demand 4-CP (A&amp;E 4-CP) for class allocation of production costs, and,</w:t>
      </w:r>
      <w:r w:rsidRPr="0026120E">
        <w:t xml:space="preserve"> instead</w:t>
      </w:r>
      <w:r w:rsidR="00764DDF">
        <w:t>, these parties urge</w:t>
      </w:r>
      <w:r w:rsidRPr="0026120E">
        <w:t xml:space="preserve"> adopt</w:t>
      </w:r>
      <w:r w:rsidR="00764DDF">
        <w:t>ion of</w:t>
      </w:r>
      <w:r w:rsidRPr="0026120E">
        <w:t xml:space="preserve"> a 4-CP system load factor.</w:t>
      </w:r>
      <w:r w:rsidRPr="0026120E">
        <w:rPr>
          <w:rStyle w:val="FootnoteReference"/>
        </w:rPr>
        <w:footnoteReference w:id="87"/>
      </w:r>
      <w:r w:rsidRPr="0026120E">
        <w:t xml:space="preserve"> OPUC and CARD both argue that the Commission’s </w:t>
      </w:r>
      <w:r w:rsidR="00764DDF">
        <w:t>use of the 1-CP system load factor in</w:t>
      </w:r>
      <w:r w:rsidRPr="0026120E">
        <w:t xml:space="preserve"> Docket No.</w:t>
      </w:r>
      <w:r w:rsidR="00764DDF">
        <w:t> </w:t>
      </w:r>
      <w:r w:rsidRPr="0026120E">
        <w:t xml:space="preserve">43695 </w:t>
      </w:r>
      <w:r w:rsidR="00764DDF">
        <w:t>should be limited to only</w:t>
      </w:r>
      <w:r w:rsidRPr="0026120E">
        <w:t xml:space="preserve"> </w:t>
      </w:r>
      <w:r w:rsidR="00764DDF">
        <w:t>cases</w:t>
      </w:r>
      <w:r w:rsidR="00A60A6F">
        <w:t xml:space="preserve"> involving Southwestern Public Service Company (SPS)</w:t>
      </w:r>
      <w:r w:rsidRPr="0026120E">
        <w:t>.</w:t>
      </w:r>
      <w:r w:rsidRPr="0026120E">
        <w:rPr>
          <w:rStyle w:val="FootnoteReference"/>
        </w:rPr>
        <w:footnoteReference w:id="88"/>
      </w:r>
      <w:r w:rsidR="001B6A83">
        <w:t xml:space="preserve"> </w:t>
      </w:r>
      <w:r w:rsidRPr="0026120E">
        <w:t xml:space="preserve">However, there is nothing in the Commission’s order in Docket No. 43695 that indicates that it should </w:t>
      </w:r>
      <w:r w:rsidRPr="0026120E">
        <w:rPr>
          <w:i/>
        </w:rPr>
        <w:t xml:space="preserve">not </w:t>
      </w:r>
      <w:r w:rsidRPr="0026120E">
        <w:t>be applied to other utilities besides SPS, particularly when the subject utility, like SWEPCO, is also a member of SPP and has the same generation and transmission planning needs.</w:t>
      </w:r>
      <w:r w:rsidRPr="0026120E">
        <w:rPr>
          <w:rStyle w:val="FootnoteReference"/>
        </w:rPr>
        <w:footnoteReference w:id="89"/>
      </w:r>
      <w:r w:rsidRPr="0026120E">
        <w:t xml:space="preserve"> </w:t>
      </w:r>
      <w:r w:rsidR="00A60A6F">
        <w:t>As the PFD notes: “SPP is also a member of the SPP[, and] SWEPCO did not explain in the evidence why its system is so much different, if at all, from the SPS system to justify a different result from that in SPS Docket No. 43695.”</w:t>
      </w:r>
      <w:r w:rsidR="00A60A6F">
        <w:rPr>
          <w:rStyle w:val="FootnoteReference"/>
        </w:rPr>
        <w:footnoteReference w:id="90"/>
      </w:r>
    </w:p>
    <w:p w:rsidR="00CB5DD7" w:rsidRPr="0026120E" w:rsidRDefault="00CB5DD7" w:rsidP="00CB5DD7">
      <w:pPr>
        <w:spacing w:after="0"/>
      </w:pPr>
      <w:r w:rsidRPr="0026120E">
        <w:t xml:space="preserve">Further, no party disputes that the issue of whether to use the </w:t>
      </w:r>
      <w:r w:rsidR="0014768C">
        <w:t>1-CP or 4-CP</w:t>
      </w:r>
      <w:r w:rsidRPr="0026120E">
        <w:t xml:space="preserve"> system load factor for the A&amp;E 4-CP allocator</w:t>
      </w:r>
      <w:r w:rsidR="0014768C">
        <w:t xml:space="preserve"> </w:t>
      </w:r>
      <w:r w:rsidR="0014768C" w:rsidRPr="0026120E">
        <w:t>was litigated for the first time in Docket No. 43695</w:t>
      </w:r>
      <w:r w:rsidR="0014768C">
        <w:t xml:space="preserve"> and</w:t>
      </w:r>
      <w:r w:rsidRPr="0026120E">
        <w:t xml:space="preserve"> was not a contested issue in Docket No. 40443.</w:t>
      </w:r>
      <w:r w:rsidRPr="0026120E">
        <w:rPr>
          <w:rStyle w:val="FootnoteReference"/>
        </w:rPr>
        <w:footnoteReference w:id="91"/>
      </w:r>
      <w:r w:rsidRPr="0026120E">
        <w:t xml:space="preserve"> As the PFD in this matter points out, the Commission’s order in Docket No. 43695 notes its decision in Docket No. 40443 to use </w:t>
      </w:r>
      <w:r w:rsidR="00EF56A1">
        <w:t xml:space="preserve">a </w:t>
      </w:r>
      <w:r w:rsidRPr="0026120E">
        <w:t>4-CP</w:t>
      </w:r>
      <w:r w:rsidR="00EF56A1">
        <w:t xml:space="preserve"> system load factor</w:t>
      </w:r>
      <w:r w:rsidRPr="0026120E">
        <w:t xml:space="preserve">, </w:t>
      </w:r>
      <w:r w:rsidRPr="0026120E">
        <w:lastRenderedPageBreak/>
        <w:t xml:space="preserve">but states that it was persuaded by the evidence presented in Docket No. 43695 that </w:t>
      </w:r>
      <w:r w:rsidR="00EF56A1">
        <w:t xml:space="preserve">a </w:t>
      </w:r>
      <w:r w:rsidRPr="0026120E">
        <w:t>1-CP</w:t>
      </w:r>
      <w:r w:rsidR="00EF56A1">
        <w:t xml:space="preserve"> system load factor</w:t>
      </w:r>
      <w:r w:rsidRPr="0026120E">
        <w:t xml:space="preserve"> is more consistent with how SPP plans transmission and how SPS plans and builds its generation and transmission systems.</w:t>
      </w:r>
      <w:r w:rsidRPr="0026120E">
        <w:rPr>
          <w:rStyle w:val="FootnoteReference"/>
        </w:rPr>
        <w:footnoteReference w:id="92"/>
      </w:r>
      <w:r w:rsidRPr="0026120E">
        <w:t xml:space="preserve"> SWEPCO is also a member of SPP and subject to SPP planning requirements; therefore the Commission’s determination that the single coincident peak approach is consistent with SPP planning is clearly applicable here.</w:t>
      </w:r>
      <w:r w:rsidRPr="0026120E">
        <w:rPr>
          <w:rStyle w:val="FootnoteReference"/>
        </w:rPr>
        <w:footnoteReference w:id="93"/>
      </w:r>
      <w:r w:rsidR="00A60A6F">
        <w:t xml:space="preserve"> </w:t>
      </w:r>
    </w:p>
    <w:p w:rsidR="00CB5DD7" w:rsidRPr="0026120E" w:rsidRDefault="00CB5DD7" w:rsidP="0014768C">
      <w:pPr>
        <w:spacing w:after="0"/>
      </w:pPr>
      <w:r w:rsidRPr="0026120E">
        <w:t>CARD repeats its argument from briefing that the 4-CP load factor is consistent with the measure of peak demand in the A&amp;E 4-CP allocator,</w:t>
      </w:r>
      <w:r w:rsidRPr="0026120E">
        <w:rPr>
          <w:rStyle w:val="FootnoteReference"/>
        </w:rPr>
        <w:footnoteReference w:id="94"/>
      </w:r>
      <w:r w:rsidRPr="0026120E">
        <w:t xml:space="preserve"> and OPUC also restates its argument that “a load factor based on 4CP is far more sound than using a single coincident peak because both the need for and the type of generation are based on broader considerations than a single peak hour.”</w:t>
      </w:r>
      <w:r w:rsidRPr="0026120E">
        <w:rPr>
          <w:rStyle w:val="FootnoteReference"/>
        </w:rPr>
        <w:footnoteReference w:id="95"/>
      </w:r>
      <w:r w:rsidRPr="0026120E">
        <w:t xml:space="preserve"> As Staff indicated in its reply brief, CARD’s argument ignores the fact that the “average” portion of the A&amp;E 4-CP allocator appropriately incorporates generation needs in every hour of the year, regardless of whether the system load factor is calculated based on 1-CP or 4-CP.</w:t>
      </w:r>
      <w:r w:rsidRPr="0026120E">
        <w:rPr>
          <w:rStyle w:val="FootnoteReference"/>
        </w:rPr>
        <w:footnoteReference w:id="96"/>
      </w:r>
      <w:r w:rsidRPr="0026120E">
        <w:t xml:space="preserve"> Changing the system load factor does not ignore generation needs outside of the single peak hour</w:t>
      </w:r>
      <w:r w:rsidR="007B24A3">
        <w:t>,</w:t>
      </w:r>
      <w:r w:rsidRPr="0026120E">
        <w:t xml:space="preserve"> as it only </w:t>
      </w:r>
      <w:r w:rsidR="0026120E" w:rsidRPr="0026120E">
        <w:t xml:space="preserve">slightly </w:t>
      </w:r>
      <w:r w:rsidRPr="0026120E">
        <w:t>changes the weighting of the “average” component to the “excess” component. Again, the Commission’s decision in Docket No. 43695 notes that the use of 1-CP is consistent with generation and transmission planning.</w:t>
      </w:r>
      <w:r w:rsidRPr="0026120E">
        <w:rPr>
          <w:rStyle w:val="FootnoteReference"/>
        </w:rPr>
        <w:footnoteReference w:id="97"/>
      </w:r>
      <w:r w:rsidR="0014768C" w:rsidRPr="0026120E" w:rsidDel="0014768C">
        <w:t xml:space="preserve"> </w:t>
      </w:r>
    </w:p>
    <w:p w:rsidR="00CB5DD7" w:rsidRPr="0026120E" w:rsidRDefault="00CB5DD7" w:rsidP="0026120E">
      <w:pPr>
        <w:spacing w:after="0"/>
      </w:pPr>
      <w:r w:rsidRPr="0026120E">
        <w:t>For these reasons, the Commission should reject OPUC and CARD’s recommendation and adopt the PFD on this issue.</w:t>
      </w:r>
      <w:r w:rsidR="001B6A83">
        <w:t xml:space="preserve"> </w:t>
      </w:r>
    </w:p>
    <w:p w:rsidR="00CB5DD7" w:rsidRPr="0014768C" w:rsidRDefault="0026120E" w:rsidP="0026120E">
      <w:pPr>
        <w:pStyle w:val="Heading2"/>
      </w:pPr>
      <w:bookmarkStart w:id="21" w:name="_Toc496908589"/>
      <w:r w:rsidRPr="0014768C">
        <w:lastRenderedPageBreak/>
        <w:t>B.</w:t>
      </w:r>
      <w:r w:rsidRPr="0014768C">
        <w:tab/>
      </w:r>
      <w:r w:rsidR="00CB5DD7" w:rsidRPr="0014768C">
        <w:t>Class Allocation of Transmission Costs</w:t>
      </w:r>
      <w:bookmarkEnd w:id="21"/>
    </w:p>
    <w:p w:rsidR="00CB5DD7" w:rsidRPr="0014768C" w:rsidRDefault="00CB5DD7" w:rsidP="00CB5DD7">
      <w:pPr>
        <w:spacing w:after="0"/>
      </w:pPr>
      <w:r w:rsidRPr="0014768C">
        <w:t>Both OPUC and CARD recommend that the Commission reject the PFD’s determination that SWEPCO allocate its transmission costs to Texas retail ratepayers based on the A&amp;E 4-CP method and instead adopt a straight 4-CP transmission allocation method.</w:t>
      </w:r>
      <w:r w:rsidRPr="0014768C">
        <w:rPr>
          <w:rStyle w:val="FootnoteReference"/>
        </w:rPr>
        <w:footnoteReference w:id="98"/>
      </w:r>
      <w:r w:rsidRPr="0014768C">
        <w:t xml:space="preserve"> However, the appropriate method for the </w:t>
      </w:r>
      <w:r w:rsidR="0026120E" w:rsidRPr="0014768C">
        <w:t xml:space="preserve">class </w:t>
      </w:r>
      <w:r w:rsidRPr="0014768C">
        <w:t xml:space="preserve">allocation of transmission </w:t>
      </w:r>
      <w:r w:rsidR="0026120E" w:rsidRPr="0014768C">
        <w:t xml:space="preserve">plant </w:t>
      </w:r>
      <w:r w:rsidRPr="0014768C">
        <w:t>costs has already been addressed by the Commission’s decisions in numerous prior proceedings, including SWEPCO’s last rate case and SPS’s most recently litigated rate case, where the Commission has concluded that the A&amp;E 4-CP method is the most appropriate and reasonable for this type of allocation.</w:t>
      </w:r>
      <w:r w:rsidRPr="0014768C">
        <w:rPr>
          <w:rStyle w:val="FootnoteReference"/>
        </w:rPr>
        <w:footnoteReference w:id="99"/>
      </w:r>
      <w:r w:rsidRPr="0014768C">
        <w:t xml:space="preserve"> Consistent with the Commission’s previous determinations, the evidence presented in this case shows that SWEPCO is a summer peaking utility,</w:t>
      </w:r>
      <w:r w:rsidRPr="0014768C">
        <w:rPr>
          <w:rStyle w:val="FootnoteReference"/>
        </w:rPr>
        <w:footnoteReference w:id="100"/>
      </w:r>
      <w:r w:rsidRPr="0014768C">
        <w:t xml:space="preserve"> which plans its transmission system around the demand experienced during higher temperature weather.</w:t>
      </w:r>
      <w:r w:rsidRPr="0014768C">
        <w:rPr>
          <w:rStyle w:val="FootnoteReference"/>
        </w:rPr>
        <w:footnoteReference w:id="101"/>
      </w:r>
      <w:r w:rsidRPr="0014768C">
        <w:t xml:space="preserve"> The A&amp;E 4-CP allocation best reflects the cost drivers for transmission investments.</w:t>
      </w:r>
      <w:r w:rsidRPr="0014768C">
        <w:rPr>
          <w:rStyle w:val="FootnoteReference"/>
        </w:rPr>
        <w:footnoteReference w:id="102"/>
      </w:r>
      <w:r w:rsidRPr="0014768C">
        <w:t xml:space="preserve"> </w:t>
      </w:r>
    </w:p>
    <w:p w:rsidR="00CB5DD7" w:rsidRPr="0014768C" w:rsidRDefault="00CB5DD7" w:rsidP="00CB5DD7">
      <w:pPr>
        <w:spacing w:after="0"/>
      </w:pPr>
      <w:r w:rsidRPr="0014768C">
        <w:t>OPUC attempts to establish that SWEPCO, along with Entergy Texas, Inc. (ETI) and SPS are “special cases</w:t>
      </w:r>
      <w:r w:rsidR="007B24A3">
        <w:t>” that are “</w:t>
      </w:r>
      <w:r w:rsidRPr="0014768C">
        <w:t xml:space="preserve">out of step with the rest of the state” by stating that the 4-CP method is used exclusively for this type of allocation </w:t>
      </w:r>
      <w:r w:rsidR="002174C8">
        <w:t xml:space="preserve">by utilities </w:t>
      </w:r>
      <w:r w:rsidRPr="0014768C">
        <w:t xml:space="preserve">within </w:t>
      </w:r>
      <w:r w:rsidR="002174C8">
        <w:t xml:space="preserve">ERCOT </w:t>
      </w:r>
      <w:r w:rsidRPr="0014768C">
        <w:t>and by El Paso Electric Company (EPE)</w:t>
      </w:r>
      <w:r w:rsidR="002174C8" w:rsidRPr="002174C8">
        <w:t xml:space="preserve"> </w:t>
      </w:r>
      <w:r w:rsidR="002174C8" w:rsidRPr="0014768C">
        <w:t>outside of ERCOT</w:t>
      </w:r>
      <w:r w:rsidRPr="0014768C">
        <w:t>.</w:t>
      </w:r>
      <w:r w:rsidRPr="0014768C">
        <w:rPr>
          <w:rStyle w:val="FootnoteReference"/>
        </w:rPr>
        <w:footnoteReference w:id="103"/>
      </w:r>
      <w:r w:rsidRPr="0014768C">
        <w:t xml:space="preserve"> However, pointing to one example of a non-ERCOT utility</w:t>
      </w:r>
      <w:r w:rsidR="002174C8">
        <w:t xml:space="preserve"> </w:t>
      </w:r>
      <w:r w:rsidRPr="0014768C">
        <w:t>in Texas</w:t>
      </w:r>
      <w:r w:rsidR="002174C8">
        <w:t xml:space="preserve">—specifically, </w:t>
      </w:r>
      <w:r w:rsidR="002174C8" w:rsidRPr="0014768C">
        <w:t>EPE</w:t>
      </w:r>
      <w:r w:rsidR="002174C8">
        <w:t>—</w:t>
      </w:r>
      <w:r w:rsidRPr="0014768C">
        <w:t xml:space="preserve">that does not use the A&amp;E 4-CP allocation is not persuasive to show </w:t>
      </w:r>
      <w:r w:rsidRPr="0014768C">
        <w:lastRenderedPageBreak/>
        <w:t>that three other non-ERCOT utilities (SWEPCO, SPS, and ETI) who do are the outliers. Further, EPE’s last three rate cases have resulted in settlement,</w:t>
      </w:r>
      <w:r w:rsidRPr="0014768C">
        <w:rPr>
          <w:rStyle w:val="FootnoteReference"/>
        </w:rPr>
        <w:footnoteReference w:id="104"/>
      </w:r>
      <w:r w:rsidRPr="0014768C">
        <w:t xml:space="preserve"> and its pending rate case is currently abated pending settlement discussions;</w:t>
      </w:r>
      <w:r w:rsidRPr="0014768C">
        <w:rPr>
          <w:rStyle w:val="FootnoteReference"/>
        </w:rPr>
        <w:footnoteReference w:id="105"/>
      </w:r>
      <w:r w:rsidRPr="0014768C">
        <w:t xml:space="preserve"> thus the issue of EPE’s class cost allocation of transmission costs has not been a contested issue </w:t>
      </w:r>
      <w:r w:rsidR="00A5251C">
        <w:t>recently litigated</w:t>
      </w:r>
      <w:r w:rsidRPr="0014768C">
        <w:t xml:space="preserve"> before the Commission.</w:t>
      </w:r>
      <w:r w:rsidR="001B6A83">
        <w:t xml:space="preserve"> </w:t>
      </w:r>
    </w:p>
    <w:p w:rsidR="00CB5DD7" w:rsidRPr="00CB5DD7" w:rsidRDefault="00CB5DD7" w:rsidP="00CB5DD7">
      <w:r w:rsidRPr="0014768C">
        <w:t>For these reasons, the Commission should reject OPUC and CARD’s recommendation and adopt the PFD on this issue.</w:t>
      </w:r>
    </w:p>
    <w:p w:rsidR="00623F9E" w:rsidRPr="004027AF" w:rsidRDefault="00F51D06" w:rsidP="004B0517">
      <w:pPr>
        <w:pStyle w:val="Heading1"/>
      </w:pPr>
      <w:bookmarkStart w:id="22" w:name="_Toc496908590"/>
      <w:r w:rsidRPr="004027AF">
        <w:t>XI</w:t>
      </w:r>
      <w:r w:rsidR="00623F9E" w:rsidRPr="004027AF">
        <w:t>.</w:t>
      </w:r>
      <w:r w:rsidR="00845F99" w:rsidRPr="004027AF">
        <w:t xml:space="preserve"> </w:t>
      </w:r>
      <w:r w:rsidR="00623F9E" w:rsidRPr="004027AF">
        <w:t>Revenue Distribution and Rate Design</w:t>
      </w:r>
      <w:bookmarkEnd w:id="22"/>
    </w:p>
    <w:p w:rsidR="00A90A35" w:rsidRDefault="00A90A35" w:rsidP="00A90A35">
      <w:pPr>
        <w:pStyle w:val="Heading2"/>
      </w:pPr>
      <w:bookmarkStart w:id="23" w:name="_Toc496908591"/>
      <w:r w:rsidRPr="004027AF">
        <w:t>A.</w:t>
      </w:r>
      <w:r w:rsidRPr="004027AF">
        <w:tab/>
        <w:t>Revenue Distribution</w:t>
      </w:r>
      <w:bookmarkEnd w:id="23"/>
    </w:p>
    <w:p w:rsidR="004027AF" w:rsidRDefault="00F70D8E" w:rsidP="004027AF">
      <w:r>
        <w:t>CARD</w:t>
      </w:r>
      <w:r w:rsidR="004027AF">
        <w:t xml:space="preserve">, </w:t>
      </w:r>
      <w:r>
        <w:t>TIEC</w:t>
      </w:r>
      <w:r w:rsidR="004027AF">
        <w:t>, and East Texas Salt Water Disposal Company and East Texas Oil and Gas Producers (ETSWD) all file exceptions regarding the PFD’s proposal to adopt SWEPCO’s revenue distribution position.</w:t>
      </w:r>
      <w:r w:rsidR="004027AF" w:rsidRPr="004027AF">
        <w:rPr>
          <w:rStyle w:val="FootnoteReference"/>
        </w:rPr>
        <w:footnoteReference w:id="106"/>
      </w:r>
      <w:r w:rsidR="004027AF">
        <w:t xml:space="preserve"> In short, SWEPCO proposed (1) grouping customers in arbitrary bundles, (2) distributing the cost responsibility for a class’s gradualism mitigation only to other customers within the bundle, and (3) applying gradualism mitigation by examining a class’s revenues gross of present T</w:t>
      </w:r>
      <w:r w:rsidR="002174C8">
        <w:t xml:space="preserve">ransmission </w:t>
      </w:r>
      <w:r w:rsidR="004027AF">
        <w:t>C</w:t>
      </w:r>
      <w:r w:rsidR="002174C8">
        <w:t xml:space="preserve">ost </w:t>
      </w:r>
      <w:r w:rsidR="004027AF">
        <w:t>R</w:t>
      </w:r>
      <w:r w:rsidR="002174C8">
        <w:t xml:space="preserve">ecovery </w:t>
      </w:r>
      <w:r w:rsidR="004027AF">
        <w:t>F</w:t>
      </w:r>
      <w:r w:rsidR="002174C8">
        <w:t>actor (TCRF)</w:t>
      </w:r>
      <w:r w:rsidR="004027AF">
        <w:t xml:space="preserve"> and D</w:t>
      </w:r>
      <w:r w:rsidR="002174C8">
        <w:t xml:space="preserve">istribution </w:t>
      </w:r>
      <w:r w:rsidR="004027AF">
        <w:t>C</w:t>
      </w:r>
      <w:r w:rsidR="002174C8">
        <w:t xml:space="preserve">ost </w:t>
      </w:r>
      <w:r w:rsidR="004027AF">
        <w:t>R</w:t>
      </w:r>
      <w:r w:rsidR="002174C8">
        <w:t xml:space="preserve">ecovery Factor (DCRF) </w:t>
      </w:r>
      <w:r w:rsidR="004027AF">
        <w:t>revenues.</w:t>
      </w:r>
      <w:r>
        <w:rPr>
          <w:rStyle w:val="FootnoteReference"/>
        </w:rPr>
        <w:footnoteReference w:id="107"/>
      </w:r>
      <w:r w:rsidR="004027AF">
        <w:t xml:space="preserve"> Each party proposes to maintain with only minor variations SWEPCO’s proposed revenue distribution framework</w:t>
      </w:r>
      <w:r w:rsidR="0093385B">
        <w:t xml:space="preserve">, </w:t>
      </w:r>
      <w:r w:rsidR="004027AF">
        <w:t>including SWEPCO’s arbitrary bundling of rate classes into major rate class bundles</w:t>
      </w:r>
      <w:r w:rsidR="00EF56A1">
        <w:t>. However,</w:t>
      </w:r>
      <w:r w:rsidR="004027AF">
        <w:t xml:space="preserve"> in so doing, each party reveals flaws in the PFD’s proposed revenue distribution method. Instead, of adopting these parties’ positions, the Commission should </w:t>
      </w:r>
      <w:r w:rsidR="004027AF">
        <w:lastRenderedPageBreak/>
        <w:t xml:space="preserve">adopt Staff’s revenue distribution proposal, which mitigates the possibility of rate shock on a class-by-class basis while ensuring that no </w:t>
      </w:r>
      <w:r w:rsidR="00B0382E">
        <w:t xml:space="preserve">class </w:t>
      </w:r>
      <w:r w:rsidR="004027AF">
        <w:t>experiences movement away from cost.</w:t>
      </w:r>
      <w:r w:rsidR="004027AF" w:rsidRPr="004027AF">
        <w:rPr>
          <w:rStyle w:val="FootnoteReference"/>
        </w:rPr>
        <w:footnoteReference w:id="108"/>
      </w:r>
    </w:p>
    <w:p w:rsidR="004027AF" w:rsidRDefault="004027AF" w:rsidP="004027AF">
      <w:r>
        <w:t>First, TIEC demonstrates the arbitrary nature of SWEPCO’s bundling proposal. TIEC seeks to retain SWEPCO’s bundling proposal but proposes 13 bundles instead of SWEPCO’s six bundles, claiming that TIEC’s approach provides more “granularity” than SWEPCO’s.</w:t>
      </w:r>
      <w:r w:rsidRPr="004027AF">
        <w:rPr>
          <w:rStyle w:val="FootnoteReference"/>
        </w:rPr>
        <w:footnoteReference w:id="109"/>
      </w:r>
      <w:r>
        <w:t xml:space="preserve"> Staff supports TIEC’s desire to obtain more granularity in revenue distribution, which is consistent with recent Commission precedent.</w:t>
      </w:r>
      <w:r w:rsidRPr="004027AF">
        <w:rPr>
          <w:rStyle w:val="FootnoteReference"/>
        </w:rPr>
        <w:footnoteReference w:id="110"/>
      </w:r>
      <w:r>
        <w:t xml:space="preserve"> However, after claiming that increased granularity is a benefit in revenue distribution, TIEC refuses to adopt Staff’s position, which provides even more granularity</w:t>
      </w:r>
      <w:r w:rsidR="00B0382E">
        <w:t>—in fact, the same granularity used in the PFD’s class cost of service study and rate design</w:t>
      </w:r>
      <w:r>
        <w:t>.</w:t>
      </w:r>
      <w:r w:rsidR="00C159D3">
        <w:rPr>
          <w:rStyle w:val="FootnoteReference"/>
        </w:rPr>
        <w:footnoteReference w:id="111"/>
      </w:r>
      <w:r>
        <w:t xml:space="preserve"> Instead, TIEC mistakenly claims that its proposed bundles are consistent with the definition of rate class</w:t>
      </w:r>
      <w:r w:rsidR="001D0A1B">
        <w:t>:</w:t>
      </w:r>
      <w:r>
        <w:t xml:space="preserve"> a group of customers taking service under a single rate schedule.</w:t>
      </w:r>
      <w:r w:rsidRPr="004027AF">
        <w:rPr>
          <w:rStyle w:val="FootnoteReference"/>
        </w:rPr>
        <w:footnoteReference w:id="112"/>
      </w:r>
    </w:p>
    <w:p w:rsidR="004027AF" w:rsidRDefault="004027AF" w:rsidP="004027AF">
      <w:r>
        <w:t>TIEC’s assertions are incorrect because TIEC would group all Metal Melting customers into a single bundle</w:t>
      </w:r>
      <w:r w:rsidRPr="004027AF">
        <w:rPr>
          <w:rStyle w:val="FootnoteReference"/>
        </w:rPr>
        <w:footnoteReference w:id="113"/>
      </w:r>
      <w:r>
        <w:t xml:space="preserve"> even though those customers take service under two separate rate schedules.</w:t>
      </w:r>
      <w:r w:rsidRPr="004027AF">
        <w:rPr>
          <w:rStyle w:val="FootnoteReference"/>
        </w:rPr>
        <w:footnoteReference w:id="114"/>
      </w:r>
      <w:r>
        <w:t xml:space="preserve"> However, more to the point, TIEC has not provided evidence regarding how revenue would be allocated to design the various rates that comprise a single rate schedule.</w:t>
      </w:r>
      <w:r w:rsidRPr="004027AF">
        <w:rPr>
          <w:rStyle w:val="FootnoteReference"/>
        </w:rPr>
        <w:footnoteReference w:id="115"/>
      </w:r>
      <w:r>
        <w:t xml:space="preserve"> For example, TIEC witness Jeffry Pollock’s direct testimony proposed a revenue distribution for the Large </w:t>
      </w:r>
      <w:r>
        <w:lastRenderedPageBreak/>
        <w:t>Lighting and Power class, but Mr. Pollock’s testimony does not provide guidance regarding revenue distribution and rate design for the individual rates comprising that schedule.</w:t>
      </w:r>
      <w:r w:rsidRPr="004027AF">
        <w:rPr>
          <w:rStyle w:val="FootnoteReference"/>
        </w:rPr>
        <w:footnoteReference w:id="116"/>
      </w:r>
      <w:r>
        <w:t xml:space="preserve"> </w:t>
      </w:r>
    </w:p>
    <w:p w:rsidR="004027AF" w:rsidRDefault="004027AF" w:rsidP="004027AF">
      <w:r>
        <w:t>TIEC has suggested in briefing that cost-based voltage differentials can be derived from the class cost of service study that the Commission will ultimately approve,</w:t>
      </w:r>
      <w:r w:rsidRPr="004027AF">
        <w:rPr>
          <w:rStyle w:val="FootnoteReference"/>
        </w:rPr>
        <w:footnoteReference w:id="117"/>
      </w:r>
      <w:r>
        <w:t xml:space="preserve"> but, in order to do so, the class cost of service study would have to allocate costs to these individual rates within each rate schedule. TIEC does not explain why it would be appropriate to use Staff’s granular customer classification for cost allocation but then abandon </w:t>
      </w:r>
      <w:r w:rsidR="007C0BE0">
        <w:t>it</w:t>
      </w:r>
      <w:r>
        <w:t xml:space="preserve"> for revenue distribution, only to return to </w:t>
      </w:r>
      <w:r w:rsidR="007C0BE0">
        <w:t>it</w:t>
      </w:r>
      <w:r>
        <w:t xml:space="preserve"> for rate design purposes. By contrast, each step of Staff’s cost allocation, revenue distribution and rate design are applied on a granular class-by-class basis, meaning that there is no need to allocate revenues first to a bundle and then to a below-bundle level.</w:t>
      </w:r>
      <w:r w:rsidRPr="004027AF">
        <w:rPr>
          <w:rStyle w:val="FootnoteReference"/>
        </w:rPr>
        <w:footnoteReference w:id="118"/>
      </w:r>
    </w:p>
    <w:p w:rsidR="004027AF" w:rsidRDefault="004027AF" w:rsidP="004027AF">
      <w:r>
        <w:t xml:space="preserve">Next, CARD’s exceptions highlight the problems with evaluating revenue increases </w:t>
      </w:r>
      <w:r w:rsidRPr="004B3C2C">
        <w:rPr>
          <w:rStyle w:val="Strong"/>
          <w:i/>
        </w:rPr>
        <w:t>gross of</w:t>
      </w:r>
      <w:r>
        <w:t xml:space="preserve"> existing TCRF and DCRF revenues. </w:t>
      </w:r>
      <w:r w:rsidR="00F42477">
        <w:t xml:space="preserve">These </w:t>
      </w:r>
      <w:r w:rsidR="000F3312">
        <w:t xml:space="preserve">factor riders </w:t>
      </w:r>
      <w:r w:rsidR="00F42477">
        <w:t>will be eliminated in this proceeding because they are designed to recover revenues that SWEPCO will no</w:t>
      </w:r>
      <w:r w:rsidR="000F3312">
        <w:t>w</w:t>
      </w:r>
      <w:r w:rsidR="00F42477">
        <w:t xml:space="preserve"> recover in base rates, </w:t>
      </w:r>
      <w:r w:rsidR="000F3312">
        <w:t>consistent with</w:t>
      </w:r>
      <w:r w:rsidR="00F42477">
        <w:t xml:space="preserve"> SWEPCO describing these revenues </w:t>
      </w:r>
      <w:r>
        <w:t>as “base rate-related</w:t>
      </w:r>
      <w:r w:rsidR="00F42477">
        <w:t>.</w:t>
      </w:r>
      <w:r>
        <w:t>”</w:t>
      </w:r>
      <w:r w:rsidRPr="004027AF">
        <w:rPr>
          <w:rStyle w:val="FootnoteReference"/>
        </w:rPr>
        <w:footnoteReference w:id="119"/>
      </w:r>
      <w:r>
        <w:t xml:space="preserve"> Staff witness William Abbott testified that existing TCRF and DCRF revenues are properly considered as part of a class’s existing base rate revenues because existing customers are actually already paying those rates.</w:t>
      </w:r>
      <w:r w:rsidRPr="004027AF">
        <w:rPr>
          <w:rStyle w:val="FootnoteReference"/>
        </w:rPr>
        <w:footnoteReference w:id="120"/>
      </w:r>
      <w:r>
        <w:t xml:space="preserve"> Revenue increases should be evaluated in light of the fact that approximately $37 million of existing TCRF and DCRF factors will be eliminated, with the respective revenues being included in the base rate increase in this proceeding.</w:t>
      </w:r>
      <w:r w:rsidRPr="004027AF">
        <w:rPr>
          <w:rStyle w:val="FootnoteReference"/>
        </w:rPr>
        <w:footnoteReference w:id="121"/>
      </w:r>
      <w:r>
        <w:t xml:space="preserve"> Instead, the ALJs instructed the number-</w:t>
      </w:r>
      <w:r>
        <w:lastRenderedPageBreak/>
        <w:t>running staff that gradualism constraints should be applied gross of existing TCRF and DCRF revenues.</w:t>
      </w:r>
      <w:r w:rsidRPr="004027AF">
        <w:rPr>
          <w:rStyle w:val="FootnoteReference"/>
        </w:rPr>
        <w:footnoteReference w:id="122"/>
      </w:r>
    </w:p>
    <w:p w:rsidR="004027AF" w:rsidRDefault="004027AF" w:rsidP="004027AF">
      <w:r>
        <w:t xml:space="preserve">CARD claims that the PFD is correct in applying gradualism by evaluating class revenue increases </w:t>
      </w:r>
      <w:r>
        <w:rPr>
          <w:rStyle w:val="Strong"/>
          <w:i/>
        </w:rPr>
        <w:t>gross</w:t>
      </w:r>
      <w:r>
        <w:t xml:space="preserve"> of existing TCRF and DCRF revenues.</w:t>
      </w:r>
      <w:r w:rsidRPr="004027AF">
        <w:rPr>
          <w:rStyle w:val="FootnoteReference"/>
        </w:rPr>
        <w:footnoteReference w:id="123"/>
      </w:r>
      <w:r>
        <w:t xml:space="preserve"> Then, in the next paragraph, CARD notes that the PFD’s recommendation produces an outlying result for the Street and Highway Lighting class when the PFD’s revenue distribution is evaluated </w:t>
      </w:r>
      <w:r>
        <w:rPr>
          <w:rStyle w:val="Strong"/>
          <w:i/>
        </w:rPr>
        <w:t>net of</w:t>
      </w:r>
      <w:r>
        <w:t xml:space="preserve"> existing TCRF and DCRF revenues.</w:t>
      </w:r>
      <w:r w:rsidRPr="004027AF">
        <w:rPr>
          <w:rStyle w:val="FootnoteReference"/>
        </w:rPr>
        <w:footnoteReference w:id="124"/>
      </w:r>
      <w:r>
        <w:t xml:space="preserve"> Specifically, CARD notes that that class experiences a “net-revenue increase” of only 1.5%—a negligible increase towards cost for a class needing a 160% revenue increase to achieve cost-based rates—and argues that that class should instead receive a larger </w:t>
      </w:r>
      <w:r w:rsidR="00F42477">
        <w:t>net</w:t>
      </w:r>
      <w:r w:rsidR="000F3312">
        <w:t>-of-factor-riders</w:t>
      </w:r>
      <w:r w:rsidR="00F42477">
        <w:t xml:space="preserve"> </w:t>
      </w:r>
      <w:r>
        <w:t>increase of 23.8%.</w:t>
      </w:r>
      <w:r w:rsidRPr="004027AF">
        <w:rPr>
          <w:rStyle w:val="FootnoteReference"/>
        </w:rPr>
        <w:footnoteReference w:id="125"/>
      </w:r>
      <w:r>
        <w:t xml:space="preserve"> CARD also explicitly notes that this adjustment would result in a smaller revenue increase for the Municipal Service class.</w:t>
      </w:r>
      <w:r w:rsidRPr="004027AF">
        <w:rPr>
          <w:rStyle w:val="FootnoteReference"/>
        </w:rPr>
        <w:footnoteReference w:id="126"/>
      </w:r>
    </w:p>
    <w:p w:rsidR="004027AF" w:rsidRDefault="004027AF" w:rsidP="002067CF">
      <w:pPr>
        <w:pStyle w:val="Paragraph"/>
      </w:pPr>
      <w:r>
        <w:t>CARD has emphasized the key problem with evaluating a class’s revenue increase without considering existing TCRF and DCRF revenues.</w:t>
      </w:r>
      <w:r w:rsidR="00AE6D3F">
        <w:t xml:space="preserve"> This anomaly for the Street and Highway Lighting class was not introduced by the PFD, but, rather, it also existed in SWEPCO’s filed revenue distribution.</w:t>
      </w:r>
      <w:r w:rsidR="00AE6D3F">
        <w:rPr>
          <w:rStyle w:val="FootnoteReference"/>
        </w:rPr>
        <w:footnoteReference w:id="127"/>
      </w:r>
      <w:r>
        <w:t xml:space="preserve"> </w:t>
      </w:r>
      <w:r w:rsidR="00AE6D3F">
        <w:t>Instead, i</w:t>
      </w:r>
      <w:r>
        <w:t>f Mr. Abbott’s proposal</w:t>
      </w:r>
      <w:r>
        <w:rPr>
          <w:vertAlign w:val="superscript"/>
        </w:rPr>
        <w:footnoteReference w:id="128"/>
      </w:r>
      <w:r>
        <w:t xml:space="preserve"> were applied to the Street and Highway Lighting class’s revenues net of existing TCRF and DCRF revenues, the revenue increase for the Street and Highway Lighting class would be approximately 24%, thus addressing CARD’s concerns</w:t>
      </w:r>
      <w:r w:rsidR="000F3312">
        <w:t xml:space="preserve"> and resulting in CARD’s proposed revenue increase for that class</w:t>
      </w:r>
      <w:r>
        <w:t>.</w:t>
      </w:r>
      <w:r>
        <w:rPr>
          <w:vertAlign w:val="superscript"/>
        </w:rPr>
        <w:footnoteReference w:id="129"/>
      </w:r>
      <w:r>
        <w:t xml:space="preserve"> Accordingly, the concerns raised by CARD are best addressed by adopting Mr. Abbott’s superior revenue </w:t>
      </w:r>
      <w:r>
        <w:lastRenderedPageBreak/>
        <w:t>distribution proposal, not by arbitrarily adjusting a particular class’s revenue</w:t>
      </w:r>
      <w:r w:rsidR="000F3312">
        <w:t xml:space="preserve"> requirement</w:t>
      </w:r>
      <w:r>
        <w:t xml:space="preserve"> while otherwise applying the PFD’s recommendation.</w:t>
      </w:r>
    </w:p>
    <w:p w:rsidR="004027AF" w:rsidRDefault="004027AF" w:rsidP="002067CF">
      <w:pPr>
        <w:pStyle w:val="Paragraph"/>
      </w:pPr>
      <w:r>
        <w:t>ETSWD’s exceptions also include several c</w:t>
      </w:r>
      <w:r w:rsidRPr="004B3C2C">
        <w:t>omparis</w:t>
      </w:r>
      <w:r>
        <w:t xml:space="preserve">ons that would be misleading to one who is not mindful of these considerations. Specifically, net of existing TCRF and DCRF revenues, the PFD recommends a 15.8% revenue increase for SWEPCO, but that number is 30.9% </w:t>
      </w:r>
      <w:r w:rsidR="002067CF">
        <w:t xml:space="preserve">when measured </w:t>
      </w:r>
      <w:r>
        <w:t>gross of existing TCRF and DCRF revenues.</w:t>
      </w:r>
      <w:r w:rsidRPr="004027AF">
        <w:rPr>
          <w:rStyle w:val="FootnoteReference"/>
        </w:rPr>
        <w:footnoteReference w:id="130"/>
      </w:r>
      <w:r>
        <w:t xml:space="preserve"> ETSWD fails to note this distinction when claiming that the proposed revenue increase in this proceeding exceeds the relative increases approved in three prior proceedings, in which the Commission approved revenue increases of -0.79%, 17.53%, and 21.71%.</w:t>
      </w:r>
      <w:r w:rsidRPr="004027AF">
        <w:rPr>
          <w:rStyle w:val="FootnoteReference"/>
        </w:rPr>
        <w:footnoteReference w:id="131"/>
      </w:r>
      <w:r>
        <w:t xml:space="preserve"> </w:t>
      </w:r>
      <w:r w:rsidR="002067CF">
        <w:t xml:space="preserve">For </w:t>
      </w:r>
      <w:r>
        <w:t>the historical proceedings discussed by ETSWD, those increases are all net of existing TCRF and DCRF revenues,</w:t>
      </w:r>
      <w:r w:rsidRPr="004027AF">
        <w:rPr>
          <w:rStyle w:val="FootnoteReference"/>
        </w:rPr>
        <w:footnoteReference w:id="132"/>
      </w:r>
      <w:r>
        <w:t xml:space="preserve"> while ETSWD has used the gross-of value—specifically, 30.9%—when discussing this proceeding. In an apples-to-apples comparison, a 15.8% revenue increase in this proceeding is a smaller relative increase than two out of three of ETSWD’s historical </w:t>
      </w:r>
      <w:r w:rsidR="00F42477">
        <w:t>examples</w:t>
      </w:r>
      <w:r>
        <w:t>.</w:t>
      </w:r>
    </w:p>
    <w:p w:rsidR="004027AF" w:rsidRDefault="004027AF" w:rsidP="002067CF">
      <w:pPr>
        <w:pStyle w:val="Paragraph"/>
      </w:pPr>
      <w:r>
        <w:t>These parties all generally support SWEPCO’s revenue distribution method while proposing variations on that theme. However, in prop</w:t>
      </w:r>
      <w:r w:rsidRPr="002067CF">
        <w:t>osing amen</w:t>
      </w:r>
      <w:r>
        <w:t xml:space="preserve">dments to SWEPCO’s gradualism proposal, these parties demonstrate aspects in which Mr. Abbott’s proposal </w:t>
      </w:r>
      <w:r w:rsidR="00944FF6">
        <w:t>should be preferred</w:t>
      </w:r>
      <w:r>
        <w:t>.</w:t>
      </w:r>
    </w:p>
    <w:p w:rsidR="002067CF" w:rsidRDefault="002067CF" w:rsidP="002067CF">
      <w:pPr>
        <w:pStyle w:val="Heading2"/>
      </w:pPr>
      <w:bookmarkStart w:id="24" w:name="_Toc496908592"/>
      <w:r>
        <w:t>B.</w:t>
      </w:r>
      <w:r>
        <w:tab/>
        <w:t>Distributed Renewable Generation</w:t>
      </w:r>
      <w:bookmarkEnd w:id="24"/>
    </w:p>
    <w:p w:rsidR="002067CF" w:rsidRDefault="002067CF" w:rsidP="002067CF">
      <w:pPr>
        <w:pStyle w:val="Paragraph"/>
      </w:pPr>
      <w:r>
        <w:t xml:space="preserve">The PFD correctly recommends that SWEPCO’s proposed revision to its Distributed Renewable Generation (DRG) tariff better complies with 16 </w:t>
      </w:r>
      <w:r w:rsidR="006D754A">
        <w:t>TAC</w:t>
      </w:r>
      <w:r>
        <w:t xml:space="preserve"> §§ 25.217 and 25.242 (TAC).</w:t>
      </w:r>
      <w:r>
        <w:rPr>
          <w:vertAlign w:val="superscript"/>
        </w:rPr>
        <w:footnoteReference w:id="133"/>
      </w:r>
      <w:r>
        <w:t xml:space="preserve"> As the PFD recounts in further detail, SWEPCO’s present tariff applies a “net metering” concept </w:t>
      </w:r>
      <w:r>
        <w:lastRenderedPageBreak/>
        <w:t>to bill DRF customers, which effectively credits a DRG customer’s outflows at SWEPCO’s full retail rate—a rate which includes embedded energy, transmission, distribution, and other costs.</w:t>
      </w:r>
      <w:r>
        <w:rPr>
          <w:vertAlign w:val="superscript"/>
        </w:rPr>
        <w:footnoteReference w:id="134"/>
      </w:r>
      <w:r>
        <w:t xml:space="preserve"> In this proceeding, SWEPCO proposed transitioning to crediting DRG customers’ outflows at the avoided cost of energy, which is in accordance with 16 TAC § 22.242.</w:t>
      </w:r>
      <w:r>
        <w:rPr>
          <w:vertAlign w:val="superscript"/>
        </w:rPr>
        <w:footnoteReference w:id="135"/>
      </w:r>
      <w:r>
        <w:t xml:space="preserve"> In particular, the ALJs found that 16 TAC § 22.242 requires that SWEPCO pay for DRG customers’ outflows at the avoided cost of energy, meaning that SWEPCO’s present tariff is not consistent with that rule.</w:t>
      </w:r>
      <w:r>
        <w:rPr>
          <w:vertAlign w:val="superscript"/>
        </w:rPr>
        <w:footnoteReference w:id="136"/>
      </w:r>
      <w:r>
        <w:t xml:space="preserve"> The ALJs were also persuaded that, because SWEPCO’s retail rates include embedded transmission and distribution costs, the present net metering regime effectively credits DRG customers as if they were transmission and distribution owners, which they clearly are not.</w:t>
      </w:r>
      <w:r>
        <w:rPr>
          <w:vertAlign w:val="superscript"/>
        </w:rPr>
        <w:footnoteReference w:id="137"/>
      </w:r>
      <w:r>
        <w:t xml:space="preserve"> The PFD recommends that SWEPCO’s tariff be amended immediately for new DRG customers but that existing customers should be allowed to retain their current rate for five years.</w:t>
      </w:r>
      <w:r>
        <w:rPr>
          <w:vertAlign w:val="superscript"/>
        </w:rPr>
        <w:footnoteReference w:id="138"/>
      </w:r>
    </w:p>
    <w:p w:rsidR="002067CF" w:rsidRDefault="002067CF" w:rsidP="002067CF">
      <w:pPr>
        <w:pStyle w:val="Paragraph"/>
      </w:pPr>
      <w:r>
        <w:t>The Office of Public Utility Counsel (OPUC) excepts to the PFD, erroneously claiming that miscellaneous provisions only applicable to Qualifying Facilities (QFs) should be interpreted to require a net metering regime for DRG customers.</w:t>
      </w:r>
      <w:r>
        <w:rPr>
          <w:vertAlign w:val="superscript"/>
        </w:rPr>
        <w:footnoteReference w:id="139"/>
      </w:r>
      <w:r>
        <w:t xml:space="preserve"> OPUC correctly notes that a vertically integrated utility must purchase the outflows of DRG customers at a value consistent with 16 TAC § 25.242, which is the Commission’s rule regarding QFs.</w:t>
      </w:r>
      <w:r>
        <w:rPr>
          <w:vertAlign w:val="superscript"/>
        </w:rPr>
        <w:footnoteReference w:id="140"/>
      </w:r>
      <w:r>
        <w:t xml:space="preserve"> However, OPUC errs in claiming that DRG service is therefore subject to various requirement that 16 TAC § 25.242(h) imposes on service to QFs, such as the interconnection options available to QFs with a design capacity of 100 kilowatts or less.</w:t>
      </w:r>
      <w:r>
        <w:rPr>
          <w:vertAlign w:val="superscript"/>
        </w:rPr>
        <w:footnoteReference w:id="141"/>
      </w:r>
      <w:r>
        <w:t xml:space="preserve"> OPUC reasons that these miscellaneous provisions explicitly permit a net metering regime for DRG customers.</w:t>
      </w:r>
      <w:r>
        <w:rPr>
          <w:vertAlign w:val="superscript"/>
        </w:rPr>
        <w:footnoteReference w:id="142"/>
      </w:r>
    </w:p>
    <w:p w:rsidR="002067CF" w:rsidRDefault="002067CF" w:rsidP="002067CF">
      <w:pPr>
        <w:pStyle w:val="Paragraph"/>
      </w:pPr>
      <w:r>
        <w:lastRenderedPageBreak/>
        <w:t>Contrary to OPUC’s assertions, the Commission’s stated intention with respect to DRG service is clear: The Commission’s rule “would apply the avoided cost standard to</w:t>
      </w:r>
      <w:r w:rsidR="00944FF6">
        <w:t xml:space="preserve"> </w:t>
      </w:r>
      <w:r>
        <w:t>the purchase by a bundled utility of the output of a DRG [customer], whether it has obtained [certification as a QF] or not.”</w:t>
      </w:r>
      <w:r>
        <w:rPr>
          <w:vertAlign w:val="superscript"/>
        </w:rPr>
        <w:footnoteReference w:id="143"/>
      </w:r>
      <w:r>
        <w:t xml:space="preserve"> The Commission noted DRG customers “have the ability to obtain certification as QFs” in order to obtain the other benefits of the QF rule, which would be unnecessary if DRG customers already enjoyed the benefits of 16 TAC § 25.242(h).</w:t>
      </w:r>
      <w:r>
        <w:rPr>
          <w:vertAlign w:val="superscript"/>
        </w:rPr>
        <w:footnoteReference w:id="144"/>
      </w:r>
      <w:r>
        <w:t xml:space="preserve"> As such, it is clear that the Commission’s rules merely set the “price [for DRG outflows] at avoided cost, calculated in a manner consistent with [the QF rule].”</w:t>
      </w:r>
      <w:r>
        <w:rPr>
          <w:vertAlign w:val="superscript"/>
        </w:rPr>
        <w:footnoteReference w:id="145"/>
      </w:r>
      <w:r>
        <w:t xml:space="preserve"> Consistent with the Commission’s stated intentions, the PFD correctly rejected OPUC’s arguments.</w:t>
      </w:r>
    </w:p>
    <w:p w:rsidR="002067CF" w:rsidRDefault="002067CF" w:rsidP="002067CF">
      <w:pPr>
        <w:pStyle w:val="Paragraph"/>
      </w:pPr>
      <w:r w:rsidRPr="0006160A">
        <w:t>OPUC further relies on the fact that SWEPCO’s DRG tariff was approved in Tariff Control Nos. 39508 and</w:t>
      </w:r>
      <w:r w:rsidR="0001368C">
        <w:t xml:space="preserve"> 41892</w:t>
      </w:r>
      <w:r w:rsidRPr="0006160A">
        <w:t>.</w:t>
      </w:r>
      <w:r w:rsidRPr="0006160A">
        <w:rPr>
          <w:vertAlign w:val="superscript"/>
        </w:rPr>
        <w:footnoteReference w:id="146"/>
      </w:r>
      <w:r w:rsidRPr="0006160A">
        <w:t xml:space="preserve"> However, both</w:t>
      </w:r>
      <w:r w:rsidR="0001368C">
        <w:t xml:space="preserve"> proceedings were concluded</w:t>
      </w:r>
      <w:r w:rsidRPr="0006160A">
        <w:t xml:space="preserve"> </w:t>
      </w:r>
      <w:r w:rsidR="0001368C">
        <w:t>by</w:t>
      </w:r>
      <w:r w:rsidRPr="0006160A">
        <w:t xml:space="preserve"> mere notices of approval</w:t>
      </w:r>
      <w:r w:rsidR="0001368C">
        <w:t xml:space="preserve"> and to not provide binding precedent</w:t>
      </w:r>
      <w:r w:rsidRPr="0006160A">
        <w:t>.</w:t>
      </w:r>
      <w:r w:rsidR="0001368C">
        <w:t xml:space="preserve"> </w:t>
      </w:r>
      <w:r w:rsidR="00C6777D" w:rsidRPr="0006160A">
        <w:t xml:space="preserve">SWEPCO’s DRG tariff </w:t>
      </w:r>
      <w:r w:rsidR="00C6777D">
        <w:t>was not</w:t>
      </w:r>
      <w:r w:rsidR="00C6777D" w:rsidRPr="0006160A">
        <w:t xml:space="preserve"> litigated in either </w:t>
      </w:r>
      <w:r w:rsidR="00C6777D">
        <w:t>tariff proceeding</w:t>
      </w:r>
      <w:r w:rsidR="00C6777D" w:rsidRPr="0006160A">
        <w:t>.</w:t>
      </w:r>
      <w:r w:rsidR="00C6777D">
        <w:t xml:space="preserve"> </w:t>
      </w:r>
      <w:r w:rsidR="0001368C">
        <w:t>Specifically, Tariff Control No. 39508 was not contested and was not even docketed.</w:t>
      </w:r>
      <w:r w:rsidRPr="0006160A">
        <w:t xml:space="preserve"> </w:t>
      </w:r>
      <w:r w:rsidR="0001368C">
        <w:t>Similarly, Tariff Control No. 41892 was initiated as a compliance proceeding following SWEPCO’s last base rate case, Docket No. 40443, but SWEPCO’s DRG tariff was not a contested issue in that rate case.</w:t>
      </w:r>
      <w:r w:rsidR="0001368C">
        <w:rPr>
          <w:rStyle w:val="FootnoteReference"/>
        </w:rPr>
        <w:footnoteReference w:id="147"/>
      </w:r>
    </w:p>
    <w:p w:rsidR="002067CF" w:rsidRPr="004027AF" w:rsidRDefault="002067CF" w:rsidP="002067CF">
      <w:r>
        <w:t>OPUC and Sierra Club</w:t>
      </w:r>
      <w:r w:rsidR="00F77975">
        <w:t xml:space="preserve"> and Dr. Lawrence Brough (Sierra Club)</w:t>
      </w:r>
      <w:r>
        <w:t xml:space="preserve"> also object to the PFD’s recommendation to limit the grandfathering of existing DRG customers under the present tariff for five years.</w:t>
      </w:r>
      <w:r w:rsidRPr="002067CF">
        <w:rPr>
          <w:rStyle w:val="FootnoteReference"/>
        </w:rPr>
        <w:footnoteReference w:id="148"/>
      </w:r>
      <w:r>
        <w:t xml:space="preserve"> Mr. Abbott’s testimony provides ample support for his recommendation that no grandfathering should be provided, including the fact that crediting DRG customers as though they are providers of distribution and transmission services creates “cross-subsidization” that “harms </w:t>
      </w:r>
      <w:r>
        <w:lastRenderedPageBreak/>
        <w:t>the public interest in both a more immediate economic manner and in a long-run manner.”</w:t>
      </w:r>
      <w:r w:rsidRPr="002067CF">
        <w:rPr>
          <w:rStyle w:val="FootnoteReference"/>
        </w:rPr>
        <w:footnoteReference w:id="149"/>
      </w:r>
      <w:r>
        <w:t xml:space="preserve"> However, Staff would not oppose grandfathering existing customers DRG customers for a period of five to ten years,</w:t>
      </w:r>
      <w:r w:rsidRPr="002067CF">
        <w:rPr>
          <w:rStyle w:val="FootnoteReference"/>
        </w:rPr>
        <w:footnoteReference w:id="150"/>
      </w:r>
      <w:r>
        <w:t xml:space="preserve"> which SWEPCO has indicated is a reasonable proposal.</w:t>
      </w:r>
      <w:r w:rsidRPr="002067CF">
        <w:rPr>
          <w:rStyle w:val="FootnoteReference"/>
        </w:rPr>
        <w:footnoteReference w:id="151"/>
      </w:r>
      <w:r>
        <w:t xml:space="preserve"> The PFD’s recommended five years of grandfathering is appropriate.</w:t>
      </w:r>
    </w:p>
    <w:p w:rsidR="0064182E" w:rsidRDefault="0064182E" w:rsidP="004B0517">
      <w:pPr>
        <w:pStyle w:val="Heading1"/>
      </w:pPr>
      <w:bookmarkStart w:id="25" w:name="_Toc496908593"/>
      <w:r w:rsidRPr="0006160A">
        <w:t>XI</w:t>
      </w:r>
      <w:r w:rsidR="00F05BB3" w:rsidRPr="0006160A">
        <w:t>V</w:t>
      </w:r>
      <w:r w:rsidRPr="0006160A">
        <w:t>.</w:t>
      </w:r>
      <w:r w:rsidR="00845F99" w:rsidRPr="0006160A">
        <w:t xml:space="preserve"> </w:t>
      </w:r>
      <w:r w:rsidRPr="0006160A">
        <w:t>Conclusion</w:t>
      </w:r>
      <w:bookmarkEnd w:id="25"/>
    </w:p>
    <w:p w:rsidR="0006160A" w:rsidRDefault="0006160A" w:rsidP="0006160A">
      <w:r>
        <w:t xml:space="preserve">Staff supports the PFD’s recommendations on the accounting treatment for Welsh 2, the jurisdictional treatment of SWEPCO’s transmission costs, the capitalization of certain vegetation management expenditures, and class and jurisdictional </w:t>
      </w:r>
      <w:r w:rsidR="00706DED">
        <w:t xml:space="preserve">cost </w:t>
      </w:r>
      <w:r>
        <w:t xml:space="preserve">allocation, as well as several additional issues. In addition, other parties’ exceptions regarding the recommended ROE and revenue distribution only serve to emphasize the </w:t>
      </w:r>
      <w:r w:rsidR="000C2E57">
        <w:t xml:space="preserve">wisdom </w:t>
      </w:r>
      <w:r>
        <w:t>of Staff's positions</w:t>
      </w:r>
      <w:r w:rsidR="00706DED">
        <w:t xml:space="preserve"> on the these issues</w:t>
      </w:r>
      <w:r>
        <w:t>.</w:t>
      </w:r>
    </w:p>
    <w:p w:rsidR="0006160A" w:rsidRDefault="0006160A" w:rsidP="0006160A">
      <w:r>
        <w:t>Staff respectfully requests that the Commission adopt the positions set out in the foregoing.</w:t>
      </w:r>
    </w:p>
    <w:p w:rsidR="0006160A" w:rsidRPr="0006160A" w:rsidRDefault="0006160A" w:rsidP="0006160A"/>
    <w:p w:rsidR="00170CA0" w:rsidRPr="000B2D95" w:rsidRDefault="00071BFA" w:rsidP="00506F29">
      <w:pPr>
        <w:pStyle w:val="NOINDENT"/>
        <w:rPr>
          <w:color w:val="FFFFFF" w:themeColor="background1"/>
          <w:highlight w:val="darkBlue"/>
        </w:rPr>
      </w:pPr>
      <w:r w:rsidRPr="000B2D95">
        <w:rPr>
          <w:color w:val="FFFFFF" w:themeColor="background1"/>
          <w:highlight w:val="darkBlue"/>
        </w:rPr>
        <w:br w:type="page"/>
      </w:r>
    </w:p>
    <w:p w:rsidR="004B0517" w:rsidRPr="001D5E90" w:rsidRDefault="00B0278E" w:rsidP="004B0517">
      <w:pPr>
        <w:pStyle w:val="DocketNo0"/>
        <w:rPr>
          <w:rFonts w:eastAsia="Calibri"/>
        </w:rPr>
      </w:pPr>
      <w:r w:rsidRPr="001D5E90">
        <w:rPr>
          <w:rFonts w:eastAsia="Calibri"/>
        </w:rPr>
        <w:lastRenderedPageBreak/>
        <w:t>PUC DOCKET NO. 46449</w:t>
      </w:r>
      <w:r w:rsidR="004B0517" w:rsidRPr="001D5E90">
        <w:rPr>
          <w:rFonts w:eastAsia="Calibri"/>
        </w:rPr>
        <w:br/>
      </w:r>
      <w:r w:rsidRPr="001D5E90">
        <w:rPr>
          <w:rFonts w:eastAsia="Calibri"/>
        </w:rPr>
        <w:t>SOAH DOCKET NO. 473-17-1764</w:t>
      </w:r>
    </w:p>
    <w:p w:rsidR="003744AE" w:rsidRPr="001D5E90" w:rsidRDefault="003744AE" w:rsidP="005C43FF">
      <w:pPr>
        <w:pStyle w:val="CertificateofService"/>
      </w:pPr>
      <w:r w:rsidRPr="001D5E90">
        <w:t>CERTIFICATE OF SERVICE</w:t>
      </w:r>
    </w:p>
    <w:p w:rsidR="00170CA0" w:rsidRPr="001D5E90" w:rsidRDefault="00170CA0" w:rsidP="005C43FF"/>
    <w:p w:rsidR="003744AE" w:rsidRPr="001D5E90" w:rsidRDefault="003744AE" w:rsidP="005C43FF">
      <w:r w:rsidRPr="001D5E90">
        <w:t xml:space="preserve">I certify that a copy of this document will be served on all parties of record </w:t>
      </w:r>
      <w:r w:rsidR="004B0517" w:rsidRPr="001D5E90">
        <w:t xml:space="preserve">on </w:t>
      </w:r>
      <w:r w:rsidR="00404631">
        <w:t>October 30</w:t>
      </w:r>
      <w:r w:rsidR="004B0517" w:rsidRPr="001D5E90">
        <w:t xml:space="preserve">, 2017 </w:t>
      </w:r>
      <w:r w:rsidRPr="001D5E90">
        <w:t xml:space="preserve">in accordance with </w:t>
      </w:r>
      <w:r w:rsidR="00DA7D9E" w:rsidRPr="001D5E90">
        <w:t>16 TAC §</w:t>
      </w:r>
      <w:r w:rsidRPr="001D5E90">
        <w:t xml:space="preserve"> 22.74.</w:t>
      </w:r>
    </w:p>
    <w:p w:rsidR="00DD413B" w:rsidRPr="001D5E90" w:rsidRDefault="0038776A" w:rsidP="005C43FF">
      <w:pPr>
        <w:pStyle w:val="SignatureBlock"/>
      </w:pPr>
      <w:r w:rsidRPr="001D5E90">
        <w:tab/>
      </w:r>
      <w:r w:rsidRPr="001D5E90">
        <w:tab/>
      </w:r>
      <w:r w:rsidRPr="001D5E90">
        <w:tab/>
      </w:r>
      <w:r w:rsidRPr="001D5E90">
        <w:tab/>
      </w:r>
      <w:r w:rsidRPr="001D5E90">
        <w:tab/>
      </w:r>
      <w:r w:rsidRPr="001D5E90">
        <w:tab/>
      </w:r>
      <w:r w:rsidRPr="001D5E90">
        <w:tab/>
      </w:r>
    </w:p>
    <w:p w:rsidR="00DD413B" w:rsidRPr="001D5E90" w:rsidRDefault="00DD413B" w:rsidP="00975D8A">
      <w:pPr>
        <w:pStyle w:val="SignatureBlock"/>
        <w:ind w:firstLine="4320"/>
      </w:pPr>
      <w:r w:rsidRPr="001D5E90">
        <w:t>______________________</w:t>
      </w:r>
    </w:p>
    <w:p w:rsidR="00DD413B" w:rsidRPr="001D5E90" w:rsidRDefault="001D5E90" w:rsidP="00975D8A">
      <w:pPr>
        <w:pStyle w:val="SignatureBlock"/>
        <w:ind w:firstLine="4320"/>
      </w:pPr>
      <w:r>
        <w:t>A. J. Smullen</w:t>
      </w:r>
    </w:p>
    <w:p w:rsidR="0038776A" w:rsidRPr="000B2D95" w:rsidRDefault="0038776A" w:rsidP="00975D8A">
      <w:pPr>
        <w:pStyle w:val="SignatureBlock"/>
        <w:ind w:firstLine="4320"/>
        <w:rPr>
          <w:color w:val="FFFFFF" w:themeColor="background1"/>
        </w:rPr>
      </w:pPr>
    </w:p>
    <w:sectPr w:rsidR="0038776A" w:rsidRPr="000B2D95">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FF1D22" w16cid:durableId="1D9C6331"/>
  <w16cid:commentId w16cid:paraId="284603BD" w16cid:durableId="1D9C6332"/>
  <w16cid:commentId w16cid:paraId="2EB65C57" w16cid:durableId="1D9C6333"/>
  <w16cid:commentId w16cid:paraId="4E2EC888" w16cid:durableId="1D9C6334"/>
  <w16cid:commentId w16cid:paraId="02210EB8" w16cid:durableId="1D9C6335"/>
  <w16cid:commentId w16cid:paraId="31C43C66" w16cid:durableId="1D9C6336"/>
  <w16cid:commentId w16cid:paraId="6B20A3EB" w16cid:durableId="1D9C6337"/>
  <w16cid:commentId w16cid:paraId="717D0687" w16cid:durableId="1D9C6338"/>
  <w16cid:commentId w16cid:paraId="1008CD35" w16cid:durableId="1D9C6339"/>
  <w16cid:commentId w16cid:paraId="011D2736" w16cid:durableId="1D9C899C"/>
  <w16cid:commentId w16cid:paraId="647D7DE0" w16cid:durableId="1D9C633A"/>
  <w16cid:commentId w16cid:paraId="3D52F482" w16cid:durableId="1D9C633B"/>
  <w16cid:commentId w16cid:paraId="451085F6" w16cid:durableId="1D9C63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B76" w:rsidRDefault="00BA6B76" w:rsidP="008016FB">
      <w:r>
        <w:separator/>
      </w:r>
    </w:p>
    <w:p w:rsidR="00BA6B76" w:rsidRDefault="00BA6B76" w:rsidP="008016FB"/>
    <w:p w:rsidR="00BA6B76" w:rsidRDefault="00BA6B76" w:rsidP="008016FB"/>
  </w:endnote>
  <w:endnote w:type="continuationSeparator" w:id="0">
    <w:p w:rsidR="00BA6B76" w:rsidRDefault="00BA6B76" w:rsidP="008016FB">
      <w:r>
        <w:continuationSeparator/>
      </w:r>
    </w:p>
    <w:p w:rsidR="00BA6B76" w:rsidRDefault="00BA6B76" w:rsidP="008016FB"/>
    <w:p w:rsidR="00BA6B76" w:rsidRDefault="00BA6B7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2AE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864" w:rsidRDefault="00B36864" w:rsidP="00E0046D">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36864" w:rsidRDefault="00B368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864" w:rsidRDefault="00B36864" w:rsidP="00E0046D">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50C4F">
      <w:rPr>
        <w:rStyle w:val="PageNumber"/>
        <w:noProof/>
      </w:rPr>
      <w:t>1</w:t>
    </w:r>
    <w:r>
      <w:rPr>
        <w:rStyle w:val="PageNumber"/>
      </w:rPr>
      <w:fldChar w:fldCharType="end"/>
    </w:r>
  </w:p>
  <w:p w:rsidR="00B36864" w:rsidRDefault="00B3686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3277" w:rsidRDefault="00BF32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B76" w:rsidRDefault="00BA6B76" w:rsidP="009A0168">
      <w:pPr>
        <w:spacing w:after="0" w:line="240" w:lineRule="auto"/>
        <w:ind w:firstLine="0"/>
      </w:pPr>
      <w:r>
        <w:separator/>
      </w:r>
    </w:p>
  </w:footnote>
  <w:footnote w:type="continuationSeparator" w:id="0">
    <w:p w:rsidR="00BA6B76" w:rsidRDefault="00BA6B76" w:rsidP="00DE10F8">
      <w:pPr>
        <w:spacing w:after="0" w:line="240" w:lineRule="auto"/>
        <w:ind w:firstLine="0"/>
      </w:pPr>
      <w:r>
        <w:continuationSeparator/>
      </w:r>
    </w:p>
  </w:footnote>
  <w:footnote w:id="1">
    <w:p w:rsidR="008F209C" w:rsidRPr="00E71689" w:rsidRDefault="008F209C">
      <w:pPr>
        <w:pStyle w:val="FootnoteText"/>
        <w:rPr>
          <w:highlight w:val="lightGray"/>
        </w:rPr>
      </w:pPr>
      <w:r w:rsidRPr="009812DE">
        <w:rPr>
          <w:rStyle w:val="FootnoteReference"/>
        </w:rPr>
        <w:footnoteRef/>
      </w:r>
      <w:r w:rsidRPr="009812DE">
        <w:t xml:space="preserve"> Proposal for Decision (Sept. 21, 2017) (PFD).</w:t>
      </w:r>
    </w:p>
  </w:footnote>
  <w:footnote w:id="2">
    <w:p w:rsidR="008F209C" w:rsidRDefault="008F209C" w:rsidP="00003860">
      <w:pPr>
        <w:pStyle w:val="FootnoteText"/>
      </w:pPr>
      <w:r w:rsidRPr="00F70D8E">
        <w:rPr>
          <w:rStyle w:val="FootnoteReference"/>
        </w:rPr>
        <w:footnoteRef/>
      </w:r>
      <w:r w:rsidRPr="00F70D8E">
        <w:t xml:space="preserve"> Texas Industrial Energy Consumers’ Initial Brief at 8 (Jul. 6, 2017) (TIEC Initial Brief); Cities Advocating Reasonable Deregulation’s Initial Post-Hearing Brief at 17 (Jul. 6, 2017); PFD at 94.</w:t>
      </w:r>
    </w:p>
  </w:footnote>
  <w:footnote w:id="3">
    <w:p w:rsidR="008F209C" w:rsidRPr="00E71689" w:rsidRDefault="008F209C" w:rsidP="00E20371">
      <w:pPr>
        <w:pStyle w:val="FootnoteText"/>
        <w:rPr>
          <w:highlight w:val="lightGray"/>
        </w:rPr>
      </w:pPr>
      <w:r w:rsidRPr="000D2232">
        <w:rPr>
          <w:rStyle w:val="FootnoteReference"/>
        </w:rPr>
        <w:footnoteRef/>
      </w:r>
      <w:r w:rsidRPr="000D2232">
        <w:t xml:space="preserve"> Southwestern Electric Power Company’s Exceptions to the Proposal for Decision at </w:t>
      </w:r>
      <w:r>
        <w:t>8</w:t>
      </w:r>
      <w:r w:rsidRPr="000D2232">
        <w:t>–</w:t>
      </w:r>
      <w:r>
        <w:t>19</w:t>
      </w:r>
      <w:r w:rsidRPr="000D2232">
        <w:t xml:space="preserve"> (Oct. 16, 2017) (SWEPCO Exceptions).</w:t>
      </w:r>
    </w:p>
  </w:footnote>
  <w:footnote w:id="4">
    <w:p w:rsidR="008F209C" w:rsidRPr="00E71689" w:rsidRDefault="008F209C" w:rsidP="00E20371">
      <w:pPr>
        <w:pStyle w:val="FootnoteText"/>
        <w:rPr>
          <w:highlight w:val="lightGray"/>
        </w:rPr>
      </w:pPr>
      <w:r w:rsidRPr="000D2232">
        <w:rPr>
          <w:rStyle w:val="FootnoteReference"/>
        </w:rPr>
        <w:footnoteRef/>
      </w:r>
      <w:r w:rsidRPr="000D2232">
        <w:t xml:space="preserve"> PFD at 87</w:t>
      </w:r>
      <w:r w:rsidR="003E5C95">
        <w:t>–</w:t>
      </w:r>
      <w:r w:rsidRPr="000D2232">
        <w:t>94.</w:t>
      </w:r>
    </w:p>
  </w:footnote>
  <w:footnote w:id="5">
    <w:p w:rsidR="008F209C" w:rsidRDefault="008F209C">
      <w:pPr>
        <w:pStyle w:val="FootnoteText"/>
      </w:pPr>
      <w:r>
        <w:rPr>
          <w:rStyle w:val="FootnoteReference"/>
        </w:rPr>
        <w:footnoteRef/>
      </w:r>
      <w:r>
        <w:t xml:space="preserve"> </w:t>
      </w:r>
      <w:r w:rsidR="00205DC2">
        <w:t xml:space="preserve">Public Utility Regulatory Act, Tex. Util. Code </w:t>
      </w:r>
      <w:r>
        <w:t>§ 36.053(a)</w:t>
      </w:r>
      <w:r w:rsidR="00205DC2">
        <w:t xml:space="preserve"> (West 2016) (PURA)</w:t>
      </w:r>
      <w:r>
        <w:t>.</w:t>
      </w:r>
    </w:p>
  </w:footnote>
  <w:footnote w:id="6">
    <w:p w:rsidR="008F209C" w:rsidRPr="00A33441" w:rsidRDefault="008F209C">
      <w:pPr>
        <w:pStyle w:val="FootnoteText"/>
      </w:pPr>
      <w:r>
        <w:rPr>
          <w:rStyle w:val="FootnoteReference"/>
        </w:rPr>
        <w:footnoteRef/>
      </w:r>
      <w:r>
        <w:t xml:space="preserve"> </w:t>
      </w:r>
      <w:r w:rsidRPr="00A33441">
        <w:t>PFD at 91–92 (finding that the precedent cited by SWEPCO in fact cuts against SWEPCO’s position on this issue).</w:t>
      </w:r>
    </w:p>
  </w:footnote>
  <w:footnote w:id="7">
    <w:p w:rsidR="008F209C" w:rsidRPr="009713A1" w:rsidRDefault="008F209C" w:rsidP="00E20371">
      <w:pPr>
        <w:pStyle w:val="FootnoteText"/>
      </w:pPr>
      <w:r w:rsidRPr="009713A1">
        <w:rPr>
          <w:rStyle w:val="FootnoteReference"/>
        </w:rPr>
        <w:footnoteRef/>
      </w:r>
      <w:r w:rsidRPr="009713A1">
        <w:t xml:space="preserve"> PURA 36.053(a).</w:t>
      </w:r>
    </w:p>
  </w:footnote>
  <w:footnote w:id="8">
    <w:p w:rsidR="008F209C" w:rsidRPr="00E71689" w:rsidRDefault="008F209C" w:rsidP="00E20371">
      <w:pPr>
        <w:pStyle w:val="FootnoteText"/>
        <w:rPr>
          <w:highlight w:val="lightGray"/>
        </w:rPr>
      </w:pPr>
      <w:r w:rsidRPr="00A33441">
        <w:rPr>
          <w:rStyle w:val="FootnoteReference"/>
        </w:rPr>
        <w:footnoteRef/>
      </w:r>
      <w:r w:rsidRPr="00A33441">
        <w:t xml:space="preserve"> SWEPCO Exceptions</w:t>
      </w:r>
      <w:r>
        <w:t xml:space="preserve"> at 10–</w:t>
      </w:r>
      <w:r w:rsidRPr="000D2232">
        <w:t>1</w:t>
      </w:r>
      <w:r>
        <w:t>1</w:t>
      </w:r>
      <w:r w:rsidRPr="000D2232">
        <w:t>.</w:t>
      </w:r>
    </w:p>
  </w:footnote>
  <w:footnote w:id="9">
    <w:p w:rsidR="008F209C" w:rsidRPr="001D7910" w:rsidRDefault="008F209C" w:rsidP="00003860">
      <w:pPr>
        <w:pStyle w:val="FootnoteText"/>
      </w:pPr>
      <w:r>
        <w:rPr>
          <w:rStyle w:val="FootnoteReference"/>
        </w:rPr>
        <w:footnoteRef/>
      </w:r>
      <w:r>
        <w:t xml:space="preserve"> </w:t>
      </w:r>
      <w:r>
        <w:rPr>
          <w:i/>
        </w:rPr>
        <w:t>See</w:t>
      </w:r>
      <w:r>
        <w:t xml:space="preserve"> PFD at 88.</w:t>
      </w:r>
    </w:p>
  </w:footnote>
  <w:footnote w:id="10">
    <w:p w:rsidR="008F209C" w:rsidRDefault="008F209C">
      <w:pPr>
        <w:pStyle w:val="FootnoteText"/>
      </w:pPr>
      <w:r>
        <w:rPr>
          <w:rStyle w:val="FootnoteReference"/>
        </w:rPr>
        <w:footnoteRef/>
      </w:r>
      <w:r>
        <w:t xml:space="preserve"> SWPCO Exceptions at 10–11.</w:t>
      </w:r>
    </w:p>
  </w:footnote>
  <w:footnote w:id="11">
    <w:p w:rsidR="008F209C" w:rsidRPr="00E71689" w:rsidRDefault="008F209C" w:rsidP="00E20371">
      <w:pPr>
        <w:pStyle w:val="FootnoteText"/>
        <w:rPr>
          <w:highlight w:val="lightGray"/>
        </w:rPr>
      </w:pPr>
      <w:r w:rsidRPr="009713A1">
        <w:rPr>
          <w:rStyle w:val="FootnoteReference"/>
        </w:rPr>
        <w:footnoteRef/>
      </w:r>
      <w:r w:rsidRPr="009713A1">
        <w:t xml:space="preserve"> PURA 36.053(a) (emphasis added).</w:t>
      </w:r>
    </w:p>
  </w:footnote>
  <w:footnote w:id="12">
    <w:p w:rsidR="008F209C" w:rsidRPr="00E71689" w:rsidRDefault="008F209C" w:rsidP="00E20371">
      <w:pPr>
        <w:pStyle w:val="FootnoteText"/>
        <w:rPr>
          <w:highlight w:val="lightGray"/>
        </w:rPr>
      </w:pPr>
      <w:r w:rsidRPr="00412B8C">
        <w:rPr>
          <w:rStyle w:val="FootnoteReference"/>
        </w:rPr>
        <w:footnoteRef/>
      </w:r>
      <w:r w:rsidRPr="00412B8C">
        <w:t xml:space="preserve"> PFD at 94.</w:t>
      </w:r>
    </w:p>
  </w:footnote>
  <w:footnote w:id="13">
    <w:p w:rsidR="008F209C" w:rsidRDefault="008F209C" w:rsidP="00DA1E3F">
      <w:pPr>
        <w:pStyle w:val="FootnoteText"/>
      </w:pPr>
      <w:r>
        <w:rPr>
          <w:rStyle w:val="FootnoteReference"/>
        </w:rPr>
        <w:footnoteRef/>
      </w:r>
      <w:r>
        <w:t xml:space="preserve"> SWEPCO Exceptions at 17.</w:t>
      </w:r>
    </w:p>
  </w:footnote>
  <w:footnote w:id="14">
    <w:p w:rsidR="008F209C" w:rsidRDefault="008F209C" w:rsidP="00DA1E3F">
      <w:pPr>
        <w:pStyle w:val="FootnoteText"/>
      </w:pPr>
      <w:r>
        <w:rPr>
          <w:rStyle w:val="FootnoteReference"/>
        </w:rPr>
        <w:footnoteRef/>
      </w:r>
      <w:r>
        <w:t xml:space="preserve"> PFD at 92</w:t>
      </w:r>
      <w:r w:rsidR="003E5C95">
        <w:t>–</w:t>
      </w:r>
      <w:r>
        <w:t>93.</w:t>
      </w:r>
    </w:p>
  </w:footnote>
  <w:footnote w:id="15">
    <w:p w:rsidR="008F209C" w:rsidRPr="00DA1E3F" w:rsidRDefault="008F209C" w:rsidP="00DA1E3F">
      <w:pPr>
        <w:pStyle w:val="FootnoteText"/>
        <w:rPr>
          <w:highlight w:val="lightGray"/>
        </w:rPr>
      </w:pPr>
      <w:r w:rsidRPr="009713A1">
        <w:rPr>
          <w:rStyle w:val="FootnoteReference"/>
        </w:rPr>
        <w:footnoteRef/>
      </w:r>
      <w:r w:rsidRPr="009713A1">
        <w:t xml:space="preserve"> </w:t>
      </w:r>
      <w:r w:rsidR="00205DC2" w:rsidRPr="009713A1">
        <w:t>Direct Testimony of Ruth Stark (Stark</w:t>
      </w:r>
      <w:r w:rsidRPr="009713A1">
        <w:t xml:space="preserve"> Direct</w:t>
      </w:r>
      <w:r w:rsidR="00205DC2" w:rsidRPr="009713A1">
        <w:t>)</w:t>
      </w:r>
      <w:r w:rsidRPr="009713A1">
        <w:t>, Staff Ex. 4 at 22.</w:t>
      </w:r>
    </w:p>
  </w:footnote>
  <w:footnote w:id="16">
    <w:p w:rsidR="008F209C" w:rsidRDefault="008F209C" w:rsidP="00DA1E3F">
      <w:pPr>
        <w:pStyle w:val="FootnoteText"/>
      </w:pPr>
      <w:r w:rsidRPr="009713A1">
        <w:rPr>
          <w:rStyle w:val="FootnoteReference"/>
        </w:rPr>
        <w:footnoteRef/>
      </w:r>
      <w:r w:rsidRPr="009713A1">
        <w:t xml:space="preserve"> </w:t>
      </w:r>
      <w:r w:rsidR="00205DC2" w:rsidRPr="009713A1">
        <w:t>Commission Staff’s Reply Brief at 9–</w:t>
      </w:r>
      <w:r w:rsidRPr="009713A1">
        <w:t>10</w:t>
      </w:r>
      <w:r w:rsidR="00205DC2" w:rsidRPr="009713A1">
        <w:t xml:space="preserve"> (Jul. 20, 2017) (Staff Reply Brief)</w:t>
      </w:r>
      <w:r w:rsidRPr="009713A1">
        <w:t>.</w:t>
      </w:r>
    </w:p>
  </w:footnote>
  <w:footnote w:id="17">
    <w:p w:rsidR="008F209C" w:rsidRPr="00E71689" w:rsidRDefault="008F209C" w:rsidP="00E20371">
      <w:pPr>
        <w:pStyle w:val="FootnoteText"/>
        <w:rPr>
          <w:highlight w:val="lightGray"/>
        </w:rPr>
      </w:pPr>
      <w:r w:rsidRPr="00412B8C">
        <w:rPr>
          <w:rStyle w:val="FootnoteReference"/>
        </w:rPr>
        <w:footnoteRef/>
      </w:r>
      <w:r w:rsidRPr="00412B8C">
        <w:t xml:space="preserve"> SWEPCO Exceptions at 1</w:t>
      </w:r>
      <w:r>
        <w:t>7</w:t>
      </w:r>
      <w:r w:rsidRPr="00412B8C">
        <w:t>.</w:t>
      </w:r>
    </w:p>
  </w:footnote>
  <w:footnote w:id="18">
    <w:p w:rsidR="008F209C" w:rsidRPr="00E71689" w:rsidRDefault="008F209C" w:rsidP="00E20371">
      <w:pPr>
        <w:pStyle w:val="FootnoteText"/>
        <w:rPr>
          <w:highlight w:val="lightGray"/>
        </w:rPr>
      </w:pPr>
      <w:r w:rsidRPr="007F587C">
        <w:rPr>
          <w:rStyle w:val="FootnoteReference"/>
        </w:rPr>
        <w:footnoteRef/>
      </w:r>
      <w:r w:rsidRPr="007F587C">
        <w:t xml:space="preserve"> PFD at 92.</w:t>
      </w:r>
    </w:p>
  </w:footnote>
  <w:footnote w:id="19">
    <w:p w:rsidR="008F209C" w:rsidRPr="00E71689" w:rsidRDefault="008F209C" w:rsidP="00E20371">
      <w:pPr>
        <w:pStyle w:val="FootnoteText"/>
        <w:rPr>
          <w:highlight w:val="lightGray"/>
        </w:rPr>
      </w:pPr>
      <w:r w:rsidRPr="00BF375E">
        <w:rPr>
          <w:rStyle w:val="FootnoteReference"/>
        </w:rPr>
        <w:footnoteRef/>
      </w:r>
      <w:r w:rsidRPr="00BF375E">
        <w:t xml:space="preserve"> </w:t>
      </w:r>
      <w:r w:rsidRPr="00BF375E">
        <w:rPr>
          <w:i/>
        </w:rPr>
        <w:t>Application of Central Power and Light Company for Authority to Change Rates,</w:t>
      </w:r>
      <w:r w:rsidRPr="00BF375E">
        <w:t xml:space="preserve"> Docket No. 14965, Second Order on Rehearing at 2–3 (Oct. 15, 1997)</w:t>
      </w:r>
      <w:r w:rsidR="00D959EC">
        <w:t xml:space="preserve"> (Docket No. 14965 Order)</w:t>
      </w:r>
      <w:r w:rsidRPr="00BF375E">
        <w:rPr>
          <w:rFonts w:eastAsia="Calibri"/>
        </w:rPr>
        <w:t xml:space="preserve"> (emphasis added)</w:t>
      </w:r>
      <w:r w:rsidRPr="00BF375E">
        <w:t>.</w:t>
      </w:r>
    </w:p>
  </w:footnote>
  <w:footnote w:id="20">
    <w:p w:rsidR="008F209C" w:rsidRPr="009713A1" w:rsidRDefault="008F209C" w:rsidP="00205DC2">
      <w:pPr>
        <w:pStyle w:val="FootnoteText"/>
      </w:pPr>
      <w:r w:rsidRPr="00A81E46">
        <w:rPr>
          <w:rStyle w:val="FootnoteReference"/>
        </w:rPr>
        <w:footnoteRef/>
      </w:r>
      <w:r w:rsidRPr="00A81E46">
        <w:t xml:space="preserve"> </w:t>
      </w:r>
      <w:r w:rsidR="00205DC2">
        <w:t>Stark Direct</w:t>
      </w:r>
      <w:r w:rsidRPr="00A81E46">
        <w:t>, Staff Ex. 4 at 18; PFD at 94.</w:t>
      </w:r>
    </w:p>
  </w:footnote>
  <w:footnote w:id="21">
    <w:p w:rsidR="008F209C" w:rsidRPr="00E71689" w:rsidRDefault="008F209C" w:rsidP="00E20371">
      <w:pPr>
        <w:pStyle w:val="FootnoteText"/>
        <w:rPr>
          <w:highlight w:val="lightGray"/>
        </w:rPr>
      </w:pPr>
      <w:r w:rsidRPr="00D35DC7">
        <w:rPr>
          <w:rStyle w:val="FootnoteReference"/>
        </w:rPr>
        <w:footnoteRef/>
      </w:r>
      <w:r w:rsidRPr="00D35DC7">
        <w:t xml:space="preserve"> SWEPCO Exceptions at 1</w:t>
      </w:r>
      <w:r>
        <w:t>1</w:t>
      </w:r>
      <w:r w:rsidRPr="00D35DC7">
        <w:t>–1</w:t>
      </w:r>
      <w:r>
        <w:t>4</w:t>
      </w:r>
      <w:r w:rsidRPr="00D35DC7">
        <w:t>.</w:t>
      </w:r>
    </w:p>
  </w:footnote>
  <w:footnote w:id="22">
    <w:p w:rsidR="008F209C" w:rsidRPr="00E71689" w:rsidRDefault="008F209C" w:rsidP="00E20371">
      <w:pPr>
        <w:pStyle w:val="FootnoteText"/>
        <w:rPr>
          <w:highlight w:val="lightGray"/>
        </w:rPr>
      </w:pPr>
      <w:r w:rsidRPr="00D35DC7">
        <w:rPr>
          <w:rStyle w:val="FootnoteReference"/>
        </w:rPr>
        <w:footnoteRef/>
      </w:r>
      <w:r w:rsidRPr="00D35DC7">
        <w:t xml:space="preserve"> PFD at 95.</w:t>
      </w:r>
    </w:p>
  </w:footnote>
  <w:footnote w:id="23">
    <w:p w:rsidR="008F209C" w:rsidRPr="00E71689" w:rsidRDefault="008F209C" w:rsidP="00E20371">
      <w:pPr>
        <w:pStyle w:val="FootnoteText"/>
        <w:rPr>
          <w:highlight w:val="lightGray"/>
        </w:rPr>
      </w:pPr>
      <w:r w:rsidRPr="00597076">
        <w:rPr>
          <w:rStyle w:val="FootnoteReference"/>
        </w:rPr>
        <w:footnoteRef/>
      </w:r>
      <w:r w:rsidRPr="00597076">
        <w:t xml:space="preserve"> Texas Industrial Energy Consumers’ Initial Brief at 13 (Jul. 6, </w:t>
      </w:r>
      <w:r w:rsidRPr="003F3953">
        <w:t>2017) (TIEC Initial Brief).</w:t>
      </w:r>
    </w:p>
  </w:footnote>
  <w:footnote w:id="24">
    <w:p w:rsidR="008F209C" w:rsidRPr="00E71689" w:rsidRDefault="008F209C" w:rsidP="00E20371">
      <w:pPr>
        <w:pStyle w:val="FootnoteText"/>
        <w:rPr>
          <w:highlight w:val="lightGray"/>
        </w:rPr>
      </w:pPr>
      <w:r w:rsidRPr="00597076">
        <w:rPr>
          <w:rStyle w:val="FootnoteReference"/>
        </w:rPr>
        <w:footnoteRef/>
      </w:r>
      <w:r w:rsidRPr="00597076">
        <w:t xml:space="preserve"> </w:t>
      </w:r>
      <w:r>
        <w:rPr>
          <w:i/>
        </w:rPr>
        <w:t>R.R. Comm</w:t>
      </w:r>
      <w:r w:rsidRPr="00597076">
        <w:rPr>
          <w:i/>
        </w:rPr>
        <w:t>’n of Texas v. Texas Citizens for a Safe Future and Clean Water</w:t>
      </w:r>
      <w:r w:rsidRPr="00597076">
        <w:t>, 336 S.W.3d 619, 628 (Tex. 2011) (“When the Legislature uses a word or phrase in one portion of a statute but excludes it from another, the term should not be implied where it has been excluded.”).</w:t>
      </w:r>
    </w:p>
  </w:footnote>
  <w:footnote w:id="25">
    <w:p w:rsidR="008F209C" w:rsidRPr="00E71689" w:rsidRDefault="008F209C" w:rsidP="00E20371">
      <w:pPr>
        <w:pStyle w:val="FootnoteText"/>
        <w:rPr>
          <w:highlight w:val="lightGray"/>
        </w:rPr>
      </w:pPr>
      <w:r w:rsidRPr="0036618C">
        <w:rPr>
          <w:rStyle w:val="FootnoteReference"/>
        </w:rPr>
        <w:footnoteRef/>
      </w:r>
      <w:r w:rsidRPr="0036618C">
        <w:t xml:space="preserve"> SWEPCO Exceptions at </w:t>
      </w:r>
      <w:r>
        <w:t>11</w:t>
      </w:r>
      <w:r w:rsidRPr="0036618C">
        <w:t>.</w:t>
      </w:r>
    </w:p>
  </w:footnote>
  <w:footnote w:id="26">
    <w:p w:rsidR="008F209C" w:rsidRPr="00E71689" w:rsidRDefault="008F209C" w:rsidP="00E20371">
      <w:pPr>
        <w:pStyle w:val="FootnoteText"/>
        <w:rPr>
          <w:highlight w:val="lightGray"/>
        </w:rPr>
      </w:pPr>
      <w:r w:rsidRPr="00EC0B7F">
        <w:rPr>
          <w:rStyle w:val="FootnoteReference"/>
        </w:rPr>
        <w:footnoteRef/>
      </w:r>
      <w:r w:rsidRPr="00EC0B7F">
        <w:t xml:space="preserve"> </w:t>
      </w:r>
      <w:r w:rsidRPr="00EC0B7F">
        <w:rPr>
          <w:i/>
        </w:rPr>
        <w:t>See, e.g.</w:t>
      </w:r>
      <w:r w:rsidRPr="00EC0B7F">
        <w:t>,</w:t>
      </w:r>
      <w:r w:rsidRPr="00EC0B7F">
        <w:rPr>
          <w:i/>
        </w:rPr>
        <w:t xml:space="preserve"> AEP Texas Central Company and AEP Texas North Company’s Request for Approval of Advances Metering System (AMS) Deployment Plan and Request for AMS </w:t>
      </w:r>
      <w:r w:rsidRPr="00EC0B7F">
        <w:t>Surcharges, Docket No. 36928, Order at 16, Finding of Fact No. 56 (Dec. 17, 2009).</w:t>
      </w:r>
    </w:p>
  </w:footnote>
  <w:footnote w:id="27">
    <w:p w:rsidR="008F209C" w:rsidRPr="009713A1" w:rsidRDefault="008F209C" w:rsidP="00E20371">
      <w:pPr>
        <w:pStyle w:val="FootnoteText"/>
      </w:pPr>
      <w:r w:rsidRPr="009713A1">
        <w:rPr>
          <w:rStyle w:val="FootnoteReference"/>
        </w:rPr>
        <w:footnoteRef/>
      </w:r>
      <w:r w:rsidRPr="009713A1">
        <w:t xml:space="preserve"> PURA § 39.107(i).</w:t>
      </w:r>
    </w:p>
  </w:footnote>
  <w:footnote w:id="28">
    <w:p w:rsidR="008F209C" w:rsidRPr="00E71689" w:rsidRDefault="008F209C" w:rsidP="00E20371">
      <w:pPr>
        <w:pStyle w:val="FootnoteText"/>
        <w:rPr>
          <w:highlight w:val="lightGray"/>
        </w:rPr>
      </w:pPr>
      <w:r w:rsidRPr="009713A1">
        <w:rPr>
          <w:rStyle w:val="FootnoteReference"/>
        </w:rPr>
        <w:footnoteRef/>
      </w:r>
      <w:r w:rsidRPr="009713A1">
        <w:t xml:space="preserve"> PURA § 39.107(h).</w:t>
      </w:r>
    </w:p>
  </w:footnote>
  <w:footnote w:id="29">
    <w:p w:rsidR="00D959EC" w:rsidRDefault="00D959EC">
      <w:pPr>
        <w:pStyle w:val="FootnoteText"/>
      </w:pPr>
      <w:r>
        <w:rPr>
          <w:rStyle w:val="FootnoteReference"/>
        </w:rPr>
        <w:footnoteRef/>
      </w:r>
      <w:r>
        <w:t xml:space="preserve"> </w:t>
      </w:r>
      <w:r w:rsidRPr="00257F67">
        <w:t>16 T</w:t>
      </w:r>
      <w:r>
        <w:t xml:space="preserve">ex. </w:t>
      </w:r>
      <w:r w:rsidRPr="00257F67">
        <w:t>A</w:t>
      </w:r>
      <w:r>
        <w:t xml:space="preserve">dmin. </w:t>
      </w:r>
      <w:r w:rsidRPr="00257F67">
        <w:t>C</w:t>
      </w:r>
      <w:r>
        <w:t>ode</w:t>
      </w:r>
      <w:r w:rsidRPr="00257F67">
        <w:t xml:space="preserve"> § 25.130(k)(4)</w:t>
      </w:r>
      <w:r>
        <w:t xml:space="preserve"> (TAC).</w:t>
      </w:r>
    </w:p>
  </w:footnote>
  <w:footnote w:id="30">
    <w:p w:rsidR="008F209C" w:rsidRPr="00E71689" w:rsidRDefault="008F209C" w:rsidP="00E20371">
      <w:pPr>
        <w:pStyle w:val="FootnoteText"/>
        <w:rPr>
          <w:highlight w:val="lightGray"/>
        </w:rPr>
      </w:pPr>
      <w:r w:rsidRPr="009713A1">
        <w:rPr>
          <w:rStyle w:val="FootnoteReference"/>
        </w:rPr>
        <w:footnoteRef/>
      </w:r>
      <w:r w:rsidRPr="009713A1">
        <w:t xml:space="preserve"> PURA § 39.002 (“If there is a conflict between the specific provisions of this chapter and any other provisions of this title, except for Chapters 40 and 41, the provisions of this chapter control.”); PURA § 36.051 (stating that a return be authorized on plant used and useful in providing service); </w:t>
      </w:r>
      <w:r w:rsidRPr="009713A1">
        <w:rPr>
          <w:i/>
        </w:rPr>
        <w:t>see also</w:t>
      </w:r>
      <w:r w:rsidRPr="009713A1">
        <w:t xml:space="preserve"> Code Construction Act, Tex. Gov’t Code § 311.026(b) (West 2013) (“If the conflict between the general provision and the special or local provision is irreconcilable, the special or local provision prevails as an exception to the general provision, unless the general provision is the later enactment and the manifest intent is that the general provision prevail.”).</w:t>
      </w:r>
    </w:p>
  </w:footnote>
  <w:footnote w:id="31">
    <w:p w:rsidR="008F209C" w:rsidRDefault="008F209C">
      <w:pPr>
        <w:pStyle w:val="FootnoteText"/>
      </w:pPr>
      <w:r>
        <w:rPr>
          <w:rStyle w:val="FootnoteReference"/>
        </w:rPr>
        <w:footnoteRef/>
      </w:r>
      <w:r>
        <w:t xml:space="preserve"> SWEPCO Exceptions at 19.</w:t>
      </w:r>
    </w:p>
  </w:footnote>
  <w:footnote w:id="32">
    <w:p w:rsidR="008F209C" w:rsidRPr="009713A1" w:rsidRDefault="008F209C">
      <w:pPr>
        <w:pStyle w:val="FootnoteText"/>
        <w:rPr>
          <w:i/>
        </w:rPr>
      </w:pPr>
      <w:r>
        <w:rPr>
          <w:rStyle w:val="FootnoteReference"/>
        </w:rPr>
        <w:footnoteRef/>
      </w:r>
      <w:r>
        <w:t xml:space="preserve"> </w:t>
      </w:r>
      <w:r>
        <w:rPr>
          <w:i/>
        </w:rPr>
        <w:t>Id.</w:t>
      </w:r>
    </w:p>
  </w:footnote>
  <w:footnote w:id="33">
    <w:p w:rsidR="008F209C" w:rsidRPr="00E97389" w:rsidRDefault="008F209C">
      <w:pPr>
        <w:pStyle w:val="FootnoteText"/>
      </w:pPr>
      <w:r>
        <w:rPr>
          <w:rStyle w:val="FootnoteReference"/>
        </w:rPr>
        <w:footnoteRef/>
      </w:r>
      <w:r>
        <w:t xml:space="preserve"> </w:t>
      </w:r>
      <w:r>
        <w:rPr>
          <w:i/>
        </w:rPr>
        <w:t xml:space="preserve">Id. </w:t>
      </w:r>
      <w:r>
        <w:t>at 19 (citing</w:t>
      </w:r>
      <w:r w:rsidRPr="003C1732">
        <w:rPr>
          <w:i/>
        </w:rPr>
        <w:t>,</w:t>
      </w:r>
      <w:r w:rsidRPr="003C1732">
        <w:t xml:space="preserve"> Docket No. 14965</w:t>
      </w:r>
      <w:r w:rsidR="00D959EC">
        <w:t xml:space="preserve"> Order</w:t>
      </w:r>
      <w:r w:rsidRPr="003C1732">
        <w:t xml:space="preserve"> at 2–3</w:t>
      </w:r>
      <w:r>
        <w:rPr>
          <w:rFonts w:eastAsia="Calibri"/>
        </w:rPr>
        <w:t>)</w:t>
      </w:r>
      <w:r w:rsidRPr="003C1732">
        <w:t>.</w:t>
      </w:r>
    </w:p>
  </w:footnote>
  <w:footnote w:id="34">
    <w:p w:rsidR="008F209C" w:rsidRDefault="008F209C">
      <w:pPr>
        <w:pStyle w:val="FootnoteText"/>
      </w:pPr>
      <w:r>
        <w:rPr>
          <w:rStyle w:val="FootnoteReference"/>
        </w:rPr>
        <w:footnoteRef/>
      </w:r>
      <w:r>
        <w:t xml:space="preserve"> Docket No. 14695 Order at 9 and 26, Finding of Fact No. 33.</w:t>
      </w:r>
    </w:p>
  </w:footnote>
  <w:footnote w:id="35">
    <w:p w:rsidR="008F209C" w:rsidRDefault="008F209C">
      <w:pPr>
        <w:pStyle w:val="FootnoteText"/>
      </w:pPr>
      <w:r>
        <w:rPr>
          <w:rStyle w:val="FootnoteReference"/>
        </w:rPr>
        <w:footnoteRef/>
      </w:r>
      <w:r>
        <w:t xml:space="preserve"> Rebuttal Testimony of Randall W. Hamlett, SWEPCO Ex. 52 at 24.</w:t>
      </w:r>
    </w:p>
  </w:footnote>
  <w:footnote w:id="36">
    <w:p w:rsidR="008F209C" w:rsidRPr="00BA446D" w:rsidRDefault="008F209C" w:rsidP="00C3219C">
      <w:pPr>
        <w:pStyle w:val="FootnoteText"/>
      </w:pPr>
      <w:r>
        <w:rPr>
          <w:rStyle w:val="FootnoteReference"/>
        </w:rPr>
        <w:footnoteRef/>
      </w:r>
      <w:r>
        <w:t xml:space="preserve"> </w:t>
      </w:r>
      <w:r>
        <w:rPr>
          <w:i/>
        </w:rPr>
        <w:t xml:space="preserve">See </w:t>
      </w:r>
      <w:r>
        <w:t>Docket 14965 Order on Rehearing at 2 (“PURA recognizes that the opening of the wholesale electric market is in the public interest and that the Commission will need to implement new rules, policies and principles to protect the public interest in a more competitive marketplace.”).</w:t>
      </w:r>
    </w:p>
  </w:footnote>
  <w:footnote w:id="37">
    <w:p w:rsidR="008F209C" w:rsidRPr="00F70D8E" w:rsidRDefault="008F209C" w:rsidP="001B6A83">
      <w:pPr>
        <w:pStyle w:val="FootnoteText"/>
      </w:pPr>
      <w:r w:rsidRPr="00F70D8E">
        <w:rPr>
          <w:rStyle w:val="FootnoteReference"/>
        </w:rPr>
        <w:footnoteRef/>
      </w:r>
      <w:r w:rsidRPr="00F70D8E">
        <w:t xml:space="preserve"> PFD at 94.</w:t>
      </w:r>
    </w:p>
  </w:footnote>
  <w:footnote w:id="38">
    <w:p w:rsidR="008F209C" w:rsidRPr="00F70D8E" w:rsidRDefault="008F209C" w:rsidP="00003860">
      <w:pPr>
        <w:pStyle w:val="FootnoteText"/>
      </w:pPr>
      <w:r w:rsidRPr="00F70D8E">
        <w:rPr>
          <w:rStyle w:val="FootnoteReference"/>
        </w:rPr>
        <w:footnoteRef/>
      </w:r>
      <w:r w:rsidRPr="00F70D8E">
        <w:t xml:space="preserve"> Texas Industrial Energy Consumers’ Exceptions to the Proposal for Decision at 5–8 (Oct. 16, 2017) (TIEC Exceptions).</w:t>
      </w:r>
    </w:p>
  </w:footnote>
  <w:footnote w:id="39">
    <w:p w:rsidR="008F209C" w:rsidRPr="00F70D8E" w:rsidRDefault="008F209C" w:rsidP="00003860">
      <w:pPr>
        <w:pStyle w:val="FootnoteText"/>
      </w:pPr>
      <w:r w:rsidRPr="00F70D8E">
        <w:rPr>
          <w:rStyle w:val="FootnoteReference"/>
        </w:rPr>
        <w:footnoteRef/>
      </w:r>
      <w:r w:rsidRPr="00F70D8E">
        <w:t xml:space="preserve"> PFD at 97.</w:t>
      </w:r>
    </w:p>
  </w:footnote>
  <w:footnote w:id="40">
    <w:p w:rsidR="008F209C" w:rsidRPr="00E71689" w:rsidRDefault="008F209C" w:rsidP="009713A1">
      <w:pPr>
        <w:pStyle w:val="FootnoteText"/>
        <w:tabs>
          <w:tab w:val="left" w:pos="600"/>
        </w:tabs>
        <w:rPr>
          <w:highlight w:val="lightGray"/>
        </w:rPr>
      </w:pPr>
      <w:r w:rsidRPr="002C0034">
        <w:rPr>
          <w:rStyle w:val="FootnoteReference"/>
        </w:rPr>
        <w:footnoteRef/>
      </w:r>
      <w:r w:rsidRPr="002C0034">
        <w:rPr>
          <w:rStyle w:val="FootnoteReference"/>
        </w:rPr>
        <w:t xml:space="preserve"> </w:t>
      </w:r>
      <w:r>
        <w:rPr>
          <w:i/>
        </w:rPr>
        <w:t>Id.</w:t>
      </w:r>
      <w:r w:rsidRPr="002C0034">
        <w:t xml:space="preserve"> at 136–141.</w:t>
      </w:r>
    </w:p>
  </w:footnote>
  <w:footnote w:id="41">
    <w:p w:rsidR="008F209C" w:rsidRPr="00B10FF6" w:rsidRDefault="008F209C" w:rsidP="009713A1">
      <w:pPr>
        <w:pStyle w:val="FootnoteText"/>
        <w:tabs>
          <w:tab w:val="left" w:pos="600"/>
        </w:tabs>
      </w:pPr>
      <w:r w:rsidRPr="00B10FF6">
        <w:rPr>
          <w:rStyle w:val="FootnoteReference"/>
        </w:rPr>
        <w:footnoteRef/>
      </w:r>
      <w:r w:rsidRPr="00B10FF6">
        <w:rPr>
          <w:rStyle w:val="FootnoteReference"/>
        </w:rPr>
        <w:t xml:space="preserve"> </w:t>
      </w:r>
      <w:r w:rsidRPr="00B10FF6">
        <w:t>SWEPCO Exceptions at 20.</w:t>
      </w:r>
    </w:p>
  </w:footnote>
  <w:footnote w:id="42">
    <w:p w:rsidR="008F209C" w:rsidRPr="00B10FF6" w:rsidRDefault="008F209C" w:rsidP="009713A1">
      <w:pPr>
        <w:pStyle w:val="FootnoteText"/>
        <w:tabs>
          <w:tab w:val="left" w:pos="600"/>
        </w:tabs>
      </w:pPr>
      <w:r w:rsidRPr="00B10FF6">
        <w:rPr>
          <w:rStyle w:val="FootnoteReference"/>
        </w:rPr>
        <w:footnoteRef/>
      </w:r>
      <w:r w:rsidRPr="00B10FF6">
        <w:rPr>
          <w:rStyle w:val="FootnoteReference"/>
        </w:rPr>
        <w:t xml:space="preserve"> </w:t>
      </w:r>
      <w:r>
        <w:rPr>
          <w:i/>
        </w:rPr>
        <w:t>Id.</w:t>
      </w:r>
    </w:p>
  </w:footnote>
  <w:footnote w:id="43">
    <w:p w:rsidR="008F209C" w:rsidRPr="00E71689" w:rsidRDefault="008F209C" w:rsidP="009713A1">
      <w:pPr>
        <w:pStyle w:val="FootnoteText"/>
        <w:tabs>
          <w:tab w:val="left" w:pos="600"/>
        </w:tabs>
        <w:rPr>
          <w:highlight w:val="lightGray"/>
        </w:rPr>
      </w:pPr>
      <w:r w:rsidRPr="00B10FF6">
        <w:rPr>
          <w:rStyle w:val="FootnoteReference"/>
        </w:rPr>
        <w:footnoteRef/>
      </w:r>
      <w:r w:rsidRPr="00B10FF6">
        <w:rPr>
          <w:rStyle w:val="FootnoteReference"/>
        </w:rPr>
        <w:t xml:space="preserve"> </w:t>
      </w:r>
      <w:r>
        <w:rPr>
          <w:i/>
        </w:rPr>
        <w:t>Id.</w:t>
      </w:r>
      <w:r w:rsidRPr="00B10FF6">
        <w:t>at 24.</w:t>
      </w:r>
    </w:p>
  </w:footnote>
  <w:footnote w:id="44">
    <w:p w:rsidR="008F209C" w:rsidRPr="00E71689" w:rsidRDefault="008F209C" w:rsidP="009713A1">
      <w:pPr>
        <w:pStyle w:val="FootnoteText"/>
        <w:tabs>
          <w:tab w:val="left" w:pos="600"/>
        </w:tabs>
        <w:rPr>
          <w:highlight w:val="lightGray"/>
        </w:rPr>
      </w:pPr>
      <w:r w:rsidRPr="00B10FF6">
        <w:rPr>
          <w:rStyle w:val="FootnoteReference"/>
        </w:rPr>
        <w:footnoteRef/>
      </w:r>
      <w:r w:rsidRPr="00B10FF6">
        <w:rPr>
          <w:rStyle w:val="FootnoteReference"/>
        </w:rPr>
        <w:t xml:space="preserve"> </w:t>
      </w:r>
      <w:r w:rsidRPr="00B10FF6">
        <w:t>PFD at 137–138.</w:t>
      </w:r>
    </w:p>
  </w:footnote>
  <w:footnote w:id="45">
    <w:p w:rsidR="008F209C" w:rsidRPr="00E71689" w:rsidRDefault="008F209C" w:rsidP="009713A1">
      <w:pPr>
        <w:pStyle w:val="FootnoteText"/>
        <w:tabs>
          <w:tab w:val="left" w:pos="600"/>
        </w:tabs>
        <w:rPr>
          <w:highlight w:val="lightGray"/>
        </w:rPr>
      </w:pPr>
      <w:r w:rsidRPr="008201FD">
        <w:rPr>
          <w:rStyle w:val="FootnoteReference"/>
        </w:rPr>
        <w:footnoteRef/>
      </w:r>
      <w:r w:rsidRPr="008201FD">
        <w:rPr>
          <w:rStyle w:val="FootnoteReference"/>
        </w:rPr>
        <w:t xml:space="preserve"> </w:t>
      </w:r>
      <w:r w:rsidRPr="008201FD">
        <w:t>SWEPCO Exceptions at 25 (“The Test Year-level of these costs is a ‘pass-through’ in both the current ratemaking and in that proposed by SWEPCO.”).</w:t>
      </w:r>
    </w:p>
  </w:footnote>
  <w:footnote w:id="46">
    <w:p w:rsidR="008F209C" w:rsidRPr="00E71689" w:rsidRDefault="008F209C" w:rsidP="009713A1">
      <w:pPr>
        <w:pStyle w:val="FootnoteText"/>
        <w:tabs>
          <w:tab w:val="left" w:pos="600"/>
        </w:tabs>
        <w:rPr>
          <w:highlight w:val="lightGray"/>
        </w:rPr>
      </w:pPr>
      <w:r w:rsidRPr="00B10FF6">
        <w:rPr>
          <w:rStyle w:val="FootnoteReference"/>
        </w:rPr>
        <w:footnoteRef/>
      </w:r>
      <w:r w:rsidRPr="00B10FF6">
        <w:rPr>
          <w:rStyle w:val="FootnoteReference"/>
        </w:rPr>
        <w:t xml:space="preserve"> </w:t>
      </w:r>
      <w:r w:rsidRPr="00B10FF6">
        <w:t>PFD at 138 (emphasis in original).</w:t>
      </w:r>
    </w:p>
  </w:footnote>
  <w:footnote w:id="47">
    <w:p w:rsidR="008F209C" w:rsidRPr="008C3DDA" w:rsidRDefault="008F209C" w:rsidP="009713A1">
      <w:pPr>
        <w:pStyle w:val="FootnoteText"/>
        <w:tabs>
          <w:tab w:val="left" w:pos="600"/>
        </w:tabs>
      </w:pPr>
      <w:r w:rsidRPr="008C3DDA">
        <w:rPr>
          <w:rStyle w:val="FootnoteReference"/>
        </w:rPr>
        <w:footnoteRef/>
      </w:r>
      <w:r w:rsidRPr="008C3DDA">
        <w:rPr>
          <w:rStyle w:val="FootnoteReference"/>
        </w:rPr>
        <w:t xml:space="preserve"> </w:t>
      </w:r>
      <w:r w:rsidRPr="008C3DDA">
        <w:rPr>
          <w:rStyle w:val="Emphasis"/>
        </w:rPr>
        <w:t>Id.</w:t>
      </w:r>
    </w:p>
  </w:footnote>
  <w:footnote w:id="48">
    <w:p w:rsidR="008F209C" w:rsidRPr="008C3DDA" w:rsidRDefault="008F209C">
      <w:pPr>
        <w:pStyle w:val="FootnoteText"/>
      </w:pPr>
      <w:r w:rsidRPr="008C3DDA">
        <w:rPr>
          <w:rStyle w:val="FootnoteReference"/>
        </w:rPr>
        <w:footnoteRef/>
      </w:r>
      <w:r w:rsidRPr="008C3DDA">
        <w:t xml:space="preserve"> PFD at 150.</w:t>
      </w:r>
    </w:p>
  </w:footnote>
  <w:footnote w:id="49">
    <w:p w:rsidR="008F209C" w:rsidRPr="008C3DDA" w:rsidRDefault="008F209C" w:rsidP="00CA73CF">
      <w:pPr>
        <w:pStyle w:val="FootnoteText"/>
      </w:pPr>
      <w:r w:rsidRPr="008C3DDA">
        <w:rPr>
          <w:rStyle w:val="FootnoteReference"/>
        </w:rPr>
        <w:footnoteRef/>
      </w:r>
      <w:r w:rsidRPr="008C3DDA">
        <w:t xml:space="preserve"> SWEPCO Exceptions at 32–34.</w:t>
      </w:r>
    </w:p>
  </w:footnote>
  <w:footnote w:id="50">
    <w:p w:rsidR="008F209C" w:rsidRPr="008C3DDA" w:rsidRDefault="008F209C">
      <w:pPr>
        <w:pStyle w:val="FootnoteText"/>
      </w:pPr>
      <w:r w:rsidRPr="008C3DDA">
        <w:rPr>
          <w:rStyle w:val="FootnoteReference"/>
        </w:rPr>
        <w:footnoteRef/>
      </w:r>
      <w:r w:rsidRPr="008C3DDA">
        <w:t xml:space="preserve"> PFD at 150.</w:t>
      </w:r>
    </w:p>
  </w:footnote>
  <w:footnote w:id="51">
    <w:p w:rsidR="008F209C" w:rsidRPr="00845656" w:rsidRDefault="008F209C">
      <w:pPr>
        <w:pStyle w:val="FootnoteText"/>
      </w:pPr>
      <w:r w:rsidRPr="00845656">
        <w:rPr>
          <w:rStyle w:val="FootnoteReference"/>
        </w:rPr>
        <w:footnoteRef/>
      </w:r>
      <w:r w:rsidRPr="00845656">
        <w:t xml:space="preserve"> </w:t>
      </w:r>
      <w:r w:rsidRPr="00845656">
        <w:rPr>
          <w:i/>
        </w:rPr>
        <w:t>Id.</w:t>
      </w:r>
    </w:p>
  </w:footnote>
  <w:footnote w:id="52">
    <w:p w:rsidR="008F209C" w:rsidRPr="00E71689" w:rsidRDefault="008F209C" w:rsidP="00CA73CF">
      <w:pPr>
        <w:pStyle w:val="FootnoteText"/>
        <w:rPr>
          <w:highlight w:val="lightGray"/>
        </w:rPr>
      </w:pPr>
      <w:r w:rsidRPr="00845656">
        <w:rPr>
          <w:rStyle w:val="FootnoteReference"/>
        </w:rPr>
        <w:footnoteRef/>
      </w:r>
      <w:r w:rsidRPr="00845656">
        <w:t xml:space="preserve"> </w:t>
      </w:r>
      <w:r>
        <w:rPr>
          <w:i/>
        </w:rPr>
        <w:t xml:space="preserve">Contra </w:t>
      </w:r>
      <w:r>
        <w:t>SWEPCO Exceptions at 32–34 (requesting alternative ratemaking treatments for the undepreciated value of Welsh Unite 2).</w:t>
      </w:r>
    </w:p>
  </w:footnote>
  <w:footnote w:id="53">
    <w:p w:rsidR="008F209C" w:rsidRPr="00E71689" w:rsidRDefault="008F209C" w:rsidP="00CA73CF">
      <w:pPr>
        <w:pStyle w:val="FootnoteText"/>
        <w:rPr>
          <w:highlight w:val="lightGray"/>
        </w:rPr>
      </w:pPr>
      <w:r w:rsidRPr="00845656">
        <w:rPr>
          <w:rStyle w:val="FootnoteReference"/>
        </w:rPr>
        <w:footnoteRef/>
      </w:r>
      <w:r w:rsidRPr="00845656">
        <w:t xml:space="preserve"> PFD at 150, Proposed Finding of Fact No. 110.</w:t>
      </w:r>
    </w:p>
  </w:footnote>
  <w:footnote w:id="54">
    <w:p w:rsidR="008F209C" w:rsidRDefault="008F209C" w:rsidP="00003860">
      <w:pPr>
        <w:pStyle w:val="FootnoteText"/>
      </w:pPr>
      <w:r>
        <w:rPr>
          <w:rStyle w:val="FootnoteReference"/>
        </w:rPr>
        <w:footnoteRef/>
      </w:r>
      <w:r>
        <w:t xml:space="preserve"> SWEPCO Exceptions at 33–34.</w:t>
      </w:r>
    </w:p>
  </w:footnote>
  <w:footnote w:id="55">
    <w:p w:rsidR="008F209C" w:rsidRDefault="008F209C" w:rsidP="00003860">
      <w:pPr>
        <w:pStyle w:val="FootnoteText"/>
      </w:pPr>
      <w:r w:rsidRPr="00E631A9">
        <w:rPr>
          <w:rStyle w:val="FootnoteReference"/>
        </w:rPr>
        <w:footnoteRef/>
      </w:r>
      <w:r w:rsidRPr="00FE7FEE">
        <w:t xml:space="preserve"> </w:t>
      </w:r>
      <w:r w:rsidR="00704CD5">
        <w:t xml:space="preserve">Direct Testimony of </w:t>
      </w:r>
      <w:r w:rsidR="006D03DD">
        <w:t xml:space="preserve">Blake Ianni, </w:t>
      </w:r>
      <w:r w:rsidR="00704CD5" w:rsidRPr="00704CD5">
        <w:t xml:space="preserve">Staff </w:t>
      </w:r>
      <w:r w:rsidR="006D03DD">
        <w:t>Ex. 7 at 10–</w:t>
      </w:r>
      <w:r w:rsidR="00704CD5" w:rsidRPr="00704CD5">
        <w:t>12</w:t>
      </w:r>
      <w:r w:rsidR="006D03DD">
        <w:t xml:space="preserve"> (discuss SWEPCO’s Response to Staff RFI 16-3)</w:t>
      </w:r>
      <w:r w:rsidR="00704CD5" w:rsidRPr="00704CD5">
        <w:t>;</w:t>
      </w:r>
      <w:r w:rsidR="006D03DD">
        <w:t xml:space="preserve"> </w:t>
      </w:r>
      <w:r w:rsidR="006D03DD">
        <w:rPr>
          <w:i/>
        </w:rPr>
        <w:t>id.</w:t>
      </w:r>
      <w:r w:rsidR="006D03DD">
        <w:t>,</w:t>
      </w:r>
      <w:r w:rsidR="00545616" w:rsidRPr="00545616">
        <w:t xml:space="preserve"> Attachment BI-6</w:t>
      </w:r>
      <w:r w:rsidR="00545616">
        <w:t xml:space="preserve"> (attaching SWEPCO’s Response to Staff RFI 16-3)</w:t>
      </w:r>
      <w:r w:rsidRPr="009713A1">
        <w:t>.</w:t>
      </w:r>
    </w:p>
  </w:footnote>
  <w:footnote w:id="56">
    <w:p w:rsidR="008F209C" w:rsidRPr="00A45B3B" w:rsidRDefault="008F209C" w:rsidP="00003860">
      <w:pPr>
        <w:pStyle w:val="FootnoteText"/>
      </w:pPr>
      <w:r w:rsidRPr="00A45B3B">
        <w:rPr>
          <w:rStyle w:val="FootnoteReference"/>
        </w:rPr>
        <w:footnoteRef/>
      </w:r>
      <w:r w:rsidRPr="00A45B3B">
        <w:t xml:space="preserve"> Direct Testimony of Randall W. Hamlett, SWEPCO Ex. 15 at 45-46.</w:t>
      </w:r>
    </w:p>
  </w:footnote>
  <w:footnote w:id="57">
    <w:p w:rsidR="008F209C" w:rsidRPr="00A45B3B" w:rsidRDefault="008F209C">
      <w:pPr>
        <w:pStyle w:val="FootnoteText"/>
      </w:pPr>
      <w:r w:rsidRPr="00A45B3B">
        <w:rPr>
          <w:rStyle w:val="FootnoteReference"/>
        </w:rPr>
        <w:footnoteRef/>
      </w:r>
      <w:r w:rsidRPr="00A45B3B">
        <w:t xml:space="preserve"> SWEPCO Exceptions at 37.</w:t>
      </w:r>
    </w:p>
  </w:footnote>
  <w:footnote w:id="58">
    <w:p w:rsidR="008F209C" w:rsidRPr="00E71689" w:rsidRDefault="008F209C" w:rsidP="00CA73CF">
      <w:pPr>
        <w:pStyle w:val="FootnoteText"/>
        <w:rPr>
          <w:highlight w:val="lightGray"/>
        </w:rPr>
      </w:pPr>
      <w:r w:rsidRPr="00A45B3B">
        <w:rPr>
          <w:rStyle w:val="FootnoteReference"/>
        </w:rPr>
        <w:footnoteRef/>
      </w:r>
      <w:r w:rsidRPr="00A45B3B">
        <w:t xml:space="preserve"> </w:t>
      </w:r>
      <w:r w:rsidRPr="00A45B3B">
        <w:rPr>
          <w:i/>
        </w:rPr>
        <w:t>Id.</w:t>
      </w:r>
      <w:r w:rsidRPr="00A45B3B">
        <w:t xml:space="preserve"> at 3</w:t>
      </w:r>
      <w:r>
        <w:t>7</w:t>
      </w:r>
      <w:r w:rsidRPr="00A45B3B">
        <w:t>–</w:t>
      </w:r>
      <w:r>
        <w:t>38</w:t>
      </w:r>
      <w:r w:rsidRPr="00A45B3B">
        <w:t>.</w:t>
      </w:r>
    </w:p>
  </w:footnote>
  <w:footnote w:id="59">
    <w:p w:rsidR="008F209C" w:rsidRPr="00E71689" w:rsidRDefault="008F209C" w:rsidP="00CA73CF">
      <w:pPr>
        <w:pStyle w:val="FootnoteText"/>
        <w:rPr>
          <w:highlight w:val="lightGray"/>
        </w:rPr>
      </w:pPr>
      <w:r w:rsidRPr="00A45B3B">
        <w:rPr>
          <w:rStyle w:val="FootnoteReference"/>
        </w:rPr>
        <w:footnoteRef/>
      </w:r>
      <w:r w:rsidRPr="00A45B3B">
        <w:t xml:space="preserve"> Direct Testimony of Robert B. Hevert (Hevert Direct), SWEPCO Ex. 16 at 3, 7</w:t>
      </w:r>
      <w:r w:rsidR="003E5C95">
        <w:t>–</w:t>
      </w:r>
      <w:r w:rsidRPr="00A45B3B">
        <w:t>14.</w:t>
      </w:r>
    </w:p>
  </w:footnote>
  <w:footnote w:id="60">
    <w:p w:rsidR="008F209C" w:rsidRPr="00A45B3B" w:rsidRDefault="008F209C" w:rsidP="00CA73CF">
      <w:pPr>
        <w:pStyle w:val="FootnoteText"/>
      </w:pPr>
      <w:r w:rsidRPr="00A45B3B">
        <w:rPr>
          <w:rStyle w:val="FootnoteReference"/>
        </w:rPr>
        <w:footnoteRef/>
      </w:r>
      <w:r w:rsidRPr="00A45B3B">
        <w:t xml:space="preserve"> </w:t>
      </w:r>
      <w:r w:rsidRPr="00A45B3B">
        <w:rPr>
          <w:i/>
        </w:rPr>
        <w:t>Id</w:t>
      </w:r>
      <w:r w:rsidRPr="00A45B3B">
        <w:t>.</w:t>
      </w:r>
    </w:p>
  </w:footnote>
  <w:footnote w:id="61">
    <w:p w:rsidR="008F209C" w:rsidRPr="00E71689" w:rsidRDefault="008F209C" w:rsidP="00CA73CF">
      <w:pPr>
        <w:pStyle w:val="FootnoteText"/>
        <w:rPr>
          <w:highlight w:val="lightGray"/>
        </w:rPr>
      </w:pPr>
      <w:r w:rsidRPr="00A45B3B">
        <w:rPr>
          <w:rStyle w:val="FootnoteReference"/>
        </w:rPr>
        <w:footnoteRef/>
      </w:r>
      <w:r w:rsidRPr="00A45B3B">
        <w:t xml:space="preserve"> </w:t>
      </w:r>
      <w:r w:rsidRPr="00A45B3B">
        <w:rPr>
          <w:i/>
        </w:rPr>
        <w:t>Id.</w:t>
      </w:r>
    </w:p>
  </w:footnote>
  <w:footnote w:id="62">
    <w:p w:rsidR="008F209C" w:rsidRPr="00E71689" w:rsidRDefault="008F209C" w:rsidP="00CA73CF">
      <w:pPr>
        <w:pStyle w:val="FootnoteText"/>
        <w:rPr>
          <w:highlight w:val="lightGray"/>
        </w:rPr>
      </w:pPr>
      <w:r w:rsidRPr="003A4BA3">
        <w:rPr>
          <w:rStyle w:val="FootnoteReference"/>
        </w:rPr>
        <w:footnoteRef/>
      </w:r>
      <w:r w:rsidRPr="003A4BA3">
        <w:rPr>
          <w:i/>
        </w:rPr>
        <w:t xml:space="preserve"> </w:t>
      </w:r>
      <w:r w:rsidRPr="003A4BA3">
        <w:t xml:space="preserve">SWEPCO Exceptions at 44 (citing </w:t>
      </w:r>
      <w:r w:rsidRPr="003A4BA3">
        <w:rPr>
          <w:i/>
        </w:rPr>
        <w:t>Coakley v. Bangor Hydro-Electric Co.</w:t>
      </w:r>
      <w:r w:rsidRPr="003A4BA3">
        <w:t>, 147 FERC ¶ 61,234, Op. No. 531 (June 19, 2014)).</w:t>
      </w:r>
    </w:p>
  </w:footnote>
  <w:footnote w:id="63">
    <w:p w:rsidR="008F209C" w:rsidRPr="00E71689" w:rsidRDefault="008F209C" w:rsidP="00CA73CF">
      <w:pPr>
        <w:pStyle w:val="FootnoteText"/>
        <w:rPr>
          <w:highlight w:val="lightGray"/>
        </w:rPr>
      </w:pPr>
      <w:r w:rsidRPr="00786E6A">
        <w:rPr>
          <w:rStyle w:val="FootnoteReference"/>
        </w:rPr>
        <w:footnoteRef/>
      </w:r>
      <w:r w:rsidRPr="00786E6A">
        <w:rPr>
          <w:i/>
        </w:rPr>
        <w:t xml:space="preserve"> </w:t>
      </w:r>
      <w:r w:rsidRPr="00786E6A">
        <w:t>Hevert Direct, SWEPCO Ex. 16 at 3, 7</w:t>
      </w:r>
      <w:r w:rsidR="000C2E57">
        <w:t>–</w:t>
      </w:r>
      <w:r w:rsidRPr="00786E6A">
        <w:t>14; Tr. at 1825:17–1826:5 (Hevert Cross) (Jun. 14, 2017) (stating that utility stock prices have increased in price during the weeks before the hearing).</w:t>
      </w:r>
    </w:p>
  </w:footnote>
  <w:footnote w:id="64">
    <w:p w:rsidR="008F209C" w:rsidRPr="00E71689" w:rsidRDefault="008F209C" w:rsidP="00CA73CF">
      <w:pPr>
        <w:pStyle w:val="FootnoteText"/>
        <w:rPr>
          <w:highlight w:val="lightGray"/>
        </w:rPr>
      </w:pPr>
      <w:r w:rsidRPr="00301C45">
        <w:rPr>
          <w:rStyle w:val="FootnoteReference"/>
        </w:rPr>
        <w:footnoteRef/>
      </w:r>
      <w:r w:rsidRPr="00301C45">
        <w:t xml:space="preserve"> </w:t>
      </w:r>
      <w:bookmarkStart w:id="12" w:name="OLE_LINK1"/>
      <w:r w:rsidRPr="00301C45">
        <w:rPr>
          <w:i/>
        </w:rPr>
        <w:t>Bluefield Water Works &amp; Improvement Company v. Pub</w:t>
      </w:r>
      <w:r>
        <w:rPr>
          <w:i/>
        </w:rPr>
        <w:t xml:space="preserve">lic Service Commission </w:t>
      </w:r>
      <w:bookmarkEnd w:id="12"/>
      <w:r>
        <w:rPr>
          <w:i/>
        </w:rPr>
        <w:t>of West</w:t>
      </w:r>
      <w:r w:rsidRPr="00301C45">
        <w:rPr>
          <w:i/>
        </w:rPr>
        <w:t xml:space="preserve"> Virginia</w:t>
      </w:r>
      <w:r w:rsidRPr="00301C45">
        <w:t>, 262 U.S.</w:t>
      </w:r>
      <w:r w:rsidR="000C2E57">
        <w:t> </w:t>
      </w:r>
      <w:r w:rsidRPr="00301C45">
        <w:t>679, 693 (1923).</w:t>
      </w:r>
    </w:p>
  </w:footnote>
  <w:footnote w:id="65">
    <w:p w:rsidR="008F209C" w:rsidRPr="00E71689" w:rsidRDefault="008F209C" w:rsidP="00CA73CF">
      <w:pPr>
        <w:pStyle w:val="FootnoteText"/>
        <w:rPr>
          <w:highlight w:val="lightGray"/>
        </w:rPr>
      </w:pPr>
      <w:r w:rsidRPr="00301C45">
        <w:rPr>
          <w:rStyle w:val="FootnoteReference"/>
        </w:rPr>
        <w:footnoteRef/>
      </w:r>
      <w:r w:rsidRPr="00301C45">
        <w:t xml:space="preserve"> Rebuttal Testimony of Robert B. Hevert, SWEPCO Ex. 17 at 127.</w:t>
      </w:r>
    </w:p>
  </w:footnote>
  <w:footnote w:id="66">
    <w:p w:rsidR="008F209C" w:rsidRPr="009713A1" w:rsidRDefault="008F209C" w:rsidP="00CA73CF">
      <w:pPr>
        <w:pStyle w:val="FootnoteText"/>
      </w:pPr>
      <w:r w:rsidRPr="009713A1">
        <w:rPr>
          <w:rStyle w:val="FootnoteReference"/>
        </w:rPr>
        <w:footnoteRef/>
      </w:r>
      <w:r w:rsidRPr="009713A1">
        <w:t xml:space="preserve"> </w:t>
      </w:r>
      <w:r w:rsidRPr="009713A1">
        <w:rPr>
          <w:i/>
        </w:rPr>
        <w:t>Id.</w:t>
      </w:r>
    </w:p>
  </w:footnote>
  <w:footnote w:id="67">
    <w:p w:rsidR="008F209C" w:rsidRPr="009713A1" w:rsidRDefault="008F209C" w:rsidP="00CA73CF">
      <w:pPr>
        <w:pStyle w:val="FootnoteText"/>
      </w:pPr>
      <w:r w:rsidRPr="009713A1">
        <w:rPr>
          <w:rStyle w:val="FootnoteReference"/>
        </w:rPr>
        <w:footnoteRef/>
      </w:r>
      <w:r w:rsidRPr="009713A1">
        <w:t xml:space="preserve"> </w:t>
      </w:r>
      <w:r w:rsidRPr="009713A1">
        <w:rPr>
          <w:i/>
        </w:rPr>
        <w:t>Id.</w:t>
      </w:r>
    </w:p>
  </w:footnote>
  <w:footnote w:id="68">
    <w:p w:rsidR="008F209C" w:rsidRPr="00E71689" w:rsidRDefault="008F209C" w:rsidP="00CA73CF">
      <w:pPr>
        <w:pStyle w:val="FootnoteText"/>
        <w:rPr>
          <w:highlight w:val="lightGray"/>
        </w:rPr>
      </w:pPr>
      <w:r w:rsidRPr="009713A1">
        <w:rPr>
          <w:rStyle w:val="FootnoteReference"/>
        </w:rPr>
        <w:footnoteRef/>
      </w:r>
      <w:r w:rsidR="004C51B7" w:rsidRPr="009713A1">
        <w:t xml:space="preserve"> SWEPCO E</w:t>
      </w:r>
      <w:r w:rsidRPr="009713A1">
        <w:t>xceptions at 45</w:t>
      </w:r>
      <w:r w:rsidR="004C51B7" w:rsidRPr="009713A1">
        <w:t>–</w:t>
      </w:r>
      <w:r w:rsidRPr="009713A1" w:rsidDel="00C21E6F">
        <w:t>47</w:t>
      </w:r>
      <w:r w:rsidRPr="009713A1">
        <w:t>.</w:t>
      </w:r>
    </w:p>
  </w:footnote>
  <w:footnote w:id="69">
    <w:p w:rsidR="008F209C" w:rsidRPr="00A5374E" w:rsidRDefault="008F209C" w:rsidP="00CA73CF">
      <w:pPr>
        <w:pStyle w:val="FootnoteText"/>
      </w:pPr>
      <w:r w:rsidRPr="00A5374E">
        <w:rPr>
          <w:rStyle w:val="FootnoteReference"/>
        </w:rPr>
        <w:footnoteRef/>
      </w:r>
      <w:r w:rsidRPr="00A5374E">
        <w:t xml:space="preserve"> PFD at 195.</w:t>
      </w:r>
    </w:p>
  </w:footnote>
  <w:footnote w:id="70">
    <w:p w:rsidR="008F209C" w:rsidRPr="00E71689" w:rsidRDefault="008F209C">
      <w:pPr>
        <w:pStyle w:val="FootnoteText"/>
        <w:rPr>
          <w:highlight w:val="lightGray"/>
        </w:rPr>
      </w:pPr>
      <w:r w:rsidRPr="00A5374E">
        <w:rPr>
          <w:rStyle w:val="FootnoteReference"/>
        </w:rPr>
        <w:footnoteRef/>
      </w:r>
      <w:r w:rsidRPr="00A5374E">
        <w:t xml:space="preserve"> SWEPCO Exceptions at 45.</w:t>
      </w:r>
    </w:p>
  </w:footnote>
  <w:footnote w:id="71">
    <w:p w:rsidR="008F209C" w:rsidRPr="00E71689" w:rsidRDefault="008F209C" w:rsidP="00CA73CF">
      <w:pPr>
        <w:pStyle w:val="FootnoteText"/>
        <w:rPr>
          <w:highlight w:val="lightGray"/>
        </w:rPr>
      </w:pPr>
      <w:r w:rsidRPr="00965EFB">
        <w:rPr>
          <w:rStyle w:val="FootnoteReference"/>
        </w:rPr>
        <w:footnoteRef/>
      </w:r>
      <w:r w:rsidRPr="00965EFB">
        <w:t xml:space="preserve"> PFD at 243.</w:t>
      </w:r>
    </w:p>
  </w:footnote>
  <w:footnote w:id="72">
    <w:p w:rsidR="008F209C" w:rsidRPr="00E71689" w:rsidRDefault="008F209C" w:rsidP="00CA73CF">
      <w:pPr>
        <w:pStyle w:val="FootnoteText"/>
        <w:rPr>
          <w:highlight w:val="lightGray"/>
        </w:rPr>
      </w:pPr>
      <w:r w:rsidRPr="009713A1">
        <w:rPr>
          <w:rStyle w:val="FootnoteReference"/>
        </w:rPr>
        <w:footnoteRef/>
      </w:r>
      <w:r w:rsidRPr="009713A1">
        <w:t xml:space="preserve"> Office</w:t>
      </w:r>
      <w:r>
        <w:t xml:space="preserve"> of Public Utility Counsel’s Exceptions to the Proposal for Decision</w:t>
      </w:r>
      <w:r w:rsidRPr="009713A1">
        <w:t xml:space="preserve"> at 29</w:t>
      </w:r>
      <w:r>
        <w:t xml:space="preserve"> (Oct. 16, 2017) (OPUC Exceptions)</w:t>
      </w:r>
      <w:r w:rsidRPr="009713A1">
        <w:t xml:space="preserve"> (citing </w:t>
      </w:r>
      <w:r>
        <w:rPr>
          <w:i/>
        </w:rPr>
        <w:t xml:space="preserve">Application </w:t>
      </w:r>
      <w:r w:rsidRPr="00E23461">
        <w:rPr>
          <w:i/>
        </w:rPr>
        <w:t>of Southwestern Electric Power Company for Authority to Change Rates and Reconcile Fuel Costs</w:t>
      </w:r>
      <w:r w:rsidRPr="00E23461">
        <w:t xml:space="preserve">, Docket No. 40443, Order </w:t>
      </w:r>
      <w:r w:rsidR="007C6253">
        <w:t>o</w:t>
      </w:r>
      <w:r w:rsidR="007C6253" w:rsidRPr="00E23461">
        <w:t xml:space="preserve">n </w:t>
      </w:r>
      <w:r w:rsidRPr="00E23461">
        <w:t>Rehearing at 39, Finding of Fact No. 218 (Mar. 6, 2014) (Docket No. 40443 Order)</w:t>
      </w:r>
      <w:r w:rsidRPr="009713A1">
        <w:t>).</w:t>
      </w:r>
    </w:p>
  </w:footnote>
  <w:footnote w:id="73">
    <w:p w:rsidR="008F209C" w:rsidRPr="00E71689" w:rsidRDefault="008F209C">
      <w:pPr>
        <w:pStyle w:val="FootnoteText"/>
        <w:rPr>
          <w:highlight w:val="lightGray"/>
        </w:rPr>
      </w:pPr>
      <w:r w:rsidRPr="00047323">
        <w:rPr>
          <w:rStyle w:val="FootnoteReference"/>
        </w:rPr>
        <w:footnoteRef/>
      </w:r>
      <w:r w:rsidRPr="00047323">
        <w:t xml:space="preserve"> PFD at 262–263.</w:t>
      </w:r>
    </w:p>
  </w:footnote>
  <w:footnote w:id="74">
    <w:p w:rsidR="008F209C" w:rsidRPr="00E71689" w:rsidRDefault="008F209C" w:rsidP="00CA73CF">
      <w:pPr>
        <w:pStyle w:val="FootnoteText"/>
        <w:rPr>
          <w:highlight w:val="lightGray"/>
        </w:rPr>
      </w:pPr>
      <w:r w:rsidRPr="006D754A">
        <w:rPr>
          <w:rStyle w:val="FootnoteReference"/>
        </w:rPr>
        <w:footnoteRef/>
      </w:r>
      <w:r w:rsidRPr="006D754A">
        <w:t xml:space="preserve"> SWEPCO Exceptions at 49.</w:t>
      </w:r>
    </w:p>
  </w:footnote>
  <w:footnote w:id="75">
    <w:p w:rsidR="008F209C" w:rsidRPr="00047323" w:rsidRDefault="008F209C" w:rsidP="00CA73CF">
      <w:pPr>
        <w:pStyle w:val="FootnoteText"/>
      </w:pPr>
      <w:r w:rsidRPr="00047323">
        <w:rPr>
          <w:rStyle w:val="FootnoteReference"/>
        </w:rPr>
        <w:footnoteRef/>
      </w:r>
      <w:r w:rsidRPr="00047323">
        <w:t xml:space="preserve"> </w:t>
      </w:r>
      <w:r w:rsidRPr="00047323">
        <w:rPr>
          <w:i/>
        </w:rPr>
        <w:t>Id</w:t>
      </w:r>
      <w:r w:rsidRPr="00047323">
        <w:t>.</w:t>
      </w:r>
    </w:p>
  </w:footnote>
  <w:footnote w:id="76">
    <w:p w:rsidR="008F209C" w:rsidRPr="00E71689" w:rsidRDefault="008F209C" w:rsidP="00CA73CF">
      <w:pPr>
        <w:pStyle w:val="FootnoteText"/>
        <w:rPr>
          <w:highlight w:val="lightGray"/>
        </w:rPr>
      </w:pPr>
      <w:r w:rsidRPr="00047323">
        <w:rPr>
          <w:rStyle w:val="FootnoteReference"/>
        </w:rPr>
        <w:footnoteRef/>
      </w:r>
      <w:r w:rsidRPr="00047323">
        <w:t xml:space="preserve"> </w:t>
      </w:r>
      <w:r w:rsidRPr="00047323">
        <w:rPr>
          <w:i/>
        </w:rPr>
        <w:t>Id</w:t>
      </w:r>
      <w:r w:rsidRPr="00047323">
        <w:t>.</w:t>
      </w:r>
    </w:p>
  </w:footnote>
  <w:footnote w:id="77">
    <w:p w:rsidR="008F209C" w:rsidRPr="00E71689" w:rsidRDefault="008F209C" w:rsidP="00CA73CF">
      <w:pPr>
        <w:pStyle w:val="FootnoteText"/>
        <w:rPr>
          <w:highlight w:val="lightGray"/>
        </w:rPr>
      </w:pPr>
      <w:r w:rsidRPr="006F4766">
        <w:rPr>
          <w:rStyle w:val="FootnoteReference"/>
        </w:rPr>
        <w:footnoteRef/>
      </w:r>
      <w:r w:rsidRPr="006F4766">
        <w:t xml:space="preserve"> PURA § 36.058; </w:t>
      </w:r>
      <w:r w:rsidRPr="006F4766">
        <w:rPr>
          <w:i/>
        </w:rPr>
        <w:t>see also R.R. Comm'n of Texas v. Rio Grande Valley Gas</w:t>
      </w:r>
      <w:r w:rsidRPr="006F4766">
        <w:t>, 683 S.W.2d 783, 786 (Tex. App.—Austin 1984, no writ) (explaining that these affiliate costs must reasonably approximate the actual cost of service to the affiliate).</w:t>
      </w:r>
    </w:p>
  </w:footnote>
  <w:footnote w:id="78">
    <w:p w:rsidR="008F209C" w:rsidRPr="00E71689" w:rsidRDefault="008F209C" w:rsidP="00CA73CF">
      <w:pPr>
        <w:pStyle w:val="FootnoteText"/>
        <w:rPr>
          <w:highlight w:val="lightGray"/>
        </w:rPr>
      </w:pPr>
      <w:r w:rsidRPr="00030247">
        <w:rPr>
          <w:rStyle w:val="FootnoteReference"/>
        </w:rPr>
        <w:footnoteRef/>
      </w:r>
      <w:r w:rsidRPr="00030247">
        <w:t xml:space="preserve"> PFD at 262.</w:t>
      </w:r>
    </w:p>
  </w:footnote>
  <w:footnote w:id="79">
    <w:p w:rsidR="008F209C" w:rsidRPr="00030247" w:rsidRDefault="008F209C" w:rsidP="00CA73CF">
      <w:pPr>
        <w:pStyle w:val="FootnoteText"/>
      </w:pPr>
      <w:r w:rsidRPr="00030247">
        <w:rPr>
          <w:rStyle w:val="FootnoteReference"/>
        </w:rPr>
        <w:footnoteRef/>
      </w:r>
      <w:r w:rsidRPr="00030247">
        <w:t xml:space="preserve"> PFD at 253–255.</w:t>
      </w:r>
    </w:p>
  </w:footnote>
  <w:footnote w:id="80">
    <w:p w:rsidR="008F209C" w:rsidRPr="00E71689" w:rsidRDefault="008F209C" w:rsidP="00CA73CF">
      <w:pPr>
        <w:pStyle w:val="FootnoteText"/>
        <w:rPr>
          <w:highlight w:val="lightGray"/>
        </w:rPr>
      </w:pPr>
      <w:r w:rsidRPr="003A4BA3">
        <w:rPr>
          <w:rStyle w:val="FootnoteReference"/>
        </w:rPr>
        <w:footnoteRef/>
      </w:r>
      <w:r w:rsidRPr="003A4BA3">
        <w:t xml:space="preserve"> </w:t>
      </w:r>
      <w:r w:rsidRPr="003A4BA3">
        <w:rPr>
          <w:szCs w:val="20"/>
        </w:rPr>
        <w:t>Stark Direct, Staff Ex. 4, Attachment RS-7 and Attachment RS-8.</w:t>
      </w:r>
    </w:p>
  </w:footnote>
  <w:footnote w:id="81">
    <w:p w:rsidR="008F209C" w:rsidRPr="00E71689" w:rsidRDefault="008F209C" w:rsidP="00CA73CF">
      <w:pPr>
        <w:pStyle w:val="FootnoteText"/>
        <w:rPr>
          <w:highlight w:val="lightGray"/>
        </w:rPr>
      </w:pPr>
      <w:r w:rsidRPr="00047323">
        <w:rPr>
          <w:rStyle w:val="FootnoteReference"/>
        </w:rPr>
        <w:footnoteRef/>
      </w:r>
      <w:r w:rsidRPr="00047323">
        <w:t xml:space="preserve"> PFD at 309.</w:t>
      </w:r>
    </w:p>
  </w:footnote>
  <w:footnote w:id="82">
    <w:p w:rsidR="008F209C" w:rsidRPr="003A4BA3" w:rsidRDefault="008F209C" w:rsidP="00CA73CF">
      <w:pPr>
        <w:pStyle w:val="FootnoteText"/>
      </w:pPr>
      <w:r w:rsidRPr="003A4BA3">
        <w:rPr>
          <w:rStyle w:val="FootnoteReference"/>
        </w:rPr>
        <w:footnoteRef/>
      </w:r>
      <w:r w:rsidRPr="003A4BA3">
        <w:t xml:space="preserve"> SWEPCO Exceptions at 52.</w:t>
      </w:r>
    </w:p>
  </w:footnote>
  <w:footnote w:id="83">
    <w:p w:rsidR="008F209C" w:rsidRPr="00E71689" w:rsidRDefault="008F209C" w:rsidP="00CA73CF">
      <w:pPr>
        <w:pStyle w:val="FootnoteText"/>
        <w:rPr>
          <w:highlight w:val="lightGray"/>
        </w:rPr>
      </w:pPr>
      <w:r w:rsidRPr="003A4BA3">
        <w:rPr>
          <w:rStyle w:val="FootnoteReference"/>
        </w:rPr>
        <w:footnoteRef/>
      </w:r>
      <w:r w:rsidRPr="003A4BA3">
        <w:t xml:space="preserve"> </w:t>
      </w:r>
      <w:r w:rsidRPr="003A4BA3">
        <w:rPr>
          <w:i/>
        </w:rPr>
        <w:t>Id.</w:t>
      </w:r>
    </w:p>
  </w:footnote>
  <w:footnote w:id="84">
    <w:p w:rsidR="008F209C" w:rsidRPr="00E71689" w:rsidRDefault="008F209C" w:rsidP="00CA73CF">
      <w:pPr>
        <w:pStyle w:val="FootnoteText"/>
        <w:rPr>
          <w:highlight w:val="lightGray"/>
        </w:rPr>
      </w:pPr>
      <w:r w:rsidRPr="00585772">
        <w:rPr>
          <w:rStyle w:val="FootnoteReference"/>
        </w:rPr>
        <w:footnoteRef/>
      </w:r>
      <w:r w:rsidRPr="00585772">
        <w:t xml:space="preserve"> </w:t>
      </w:r>
      <w:r w:rsidRPr="00585772">
        <w:rPr>
          <w:i/>
        </w:rPr>
        <w:t xml:space="preserve">See </w:t>
      </w:r>
      <w:r w:rsidRPr="00585772">
        <w:t>Commission Staff’s Initial Brief at 48 (Jul. 6, 2017) (Staff Initial Brief).</w:t>
      </w:r>
    </w:p>
  </w:footnote>
  <w:footnote w:id="85">
    <w:p w:rsidR="008F209C" w:rsidRPr="00E71689" w:rsidRDefault="008F209C" w:rsidP="00CA73CF">
      <w:pPr>
        <w:pStyle w:val="FootnoteText"/>
        <w:rPr>
          <w:highlight w:val="lightGray"/>
        </w:rPr>
      </w:pPr>
      <w:r w:rsidRPr="006D754A">
        <w:rPr>
          <w:rStyle w:val="FootnoteReference"/>
        </w:rPr>
        <w:footnoteRef/>
      </w:r>
      <w:r w:rsidRPr="006D754A">
        <w:t xml:space="preserve"> Docket No. 40443 Order at 43–44, Finding of Fact Nos. 256</w:t>
      </w:r>
      <w:r w:rsidR="003E5C95">
        <w:t>–</w:t>
      </w:r>
      <w:r w:rsidRPr="006D754A">
        <w:t>258.</w:t>
      </w:r>
    </w:p>
  </w:footnote>
  <w:footnote w:id="86">
    <w:p w:rsidR="008F209C" w:rsidRPr="00E71689" w:rsidRDefault="008F209C" w:rsidP="00CA73CF">
      <w:pPr>
        <w:pStyle w:val="FootnoteText"/>
        <w:rPr>
          <w:highlight w:val="lightGray"/>
        </w:rPr>
      </w:pPr>
      <w:r w:rsidRPr="00C02EEC">
        <w:rPr>
          <w:rStyle w:val="FootnoteReference"/>
        </w:rPr>
        <w:footnoteRef/>
      </w:r>
      <w:r w:rsidRPr="00C02EEC">
        <w:t xml:space="preserve"> PFD at 308.</w:t>
      </w:r>
      <w:r w:rsidRPr="00E71689">
        <w:rPr>
          <w:i/>
          <w:highlight w:val="lightGray"/>
        </w:rPr>
        <w:t xml:space="preserve"> </w:t>
      </w:r>
    </w:p>
  </w:footnote>
  <w:footnote w:id="87">
    <w:p w:rsidR="008F209C" w:rsidRPr="00E71689" w:rsidRDefault="008F209C" w:rsidP="00CA73CF">
      <w:pPr>
        <w:pStyle w:val="FootnoteText"/>
        <w:rPr>
          <w:highlight w:val="lightGray"/>
        </w:rPr>
      </w:pPr>
      <w:r w:rsidRPr="006D754A">
        <w:rPr>
          <w:rStyle w:val="FootnoteReference"/>
        </w:rPr>
        <w:footnoteRef/>
      </w:r>
      <w:r>
        <w:t xml:space="preserve"> OPUC</w:t>
      </w:r>
      <w:r w:rsidRPr="006D754A">
        <w:t xml:space="preserve"> Exceptions at 50; Cities A</w:t>
      </w:r>
      <w:r w:rsidRPr="00585772">
        <w:t>dvocating Reasonable Deregulation’s Exceptions to the Proposal for Decision at 42 (Oct. 16, 2017) (CARD Exceptions).</w:t>
      </w:r>
    </w:p>
  </w:footnote>
  <w:footnote w:id="88">
    <w:p w:rsidR="008F209C" w:rsidRPr="00E71689" w:rsidRDefault="008F209C" w:rsidP="00CA73CF">
      <w:pPr>
        <w:pStyle w:val="FootnoteText"/>
        <w:rPr>
          <w:highlight w:val="lightGray"/>
        </w:rPr>
      </w:pPr>
      <w:r w:rsidRPr="006D754A">
        <w:rPr>
          <w:rStyle w:val="FootnoteReference"/>
        </w:rPr>
        <w:footnoteRef/>
      </w:r>
      <w:r w:rsidRPr="006D754A">
        <w:t xml:space="preserve"> </w:t>
      </w:r>
      <w:r w:rsidRPr="006D754A">
        <w:rPr>
          <w:i/>
        </w:rPr>
        <w:t xml:space="preserve">See </w:t>
      </w:r>
      <w:r>
        <w:t>OPUC</w:t>
      </w:r>
      <w:r w:rsidRPr="006D754A">
        <w:t xml:space="preserve"> Exceptions at 54; CARD Ex</w:t>
      </w:r>
      <w:r w:rsidRPr="00585772">
        <w:t>ceptions at 44.</w:t>
      </w:r>
    </w:p>
  </w:footnote>
  <w:footnote w:id="89">
    <w:p w:rsidR="008F209C" w:rsidRPr="00E71689" w:rsidRDefault="008F209C" w:rsidP="00CA73CF">
      <w:pPr>
        <w:pStyle w:val="FootnoteText"/>
        <w:rPr>
          <w:highlight w:val="lightGray"/>
        </w:rPr>
      </w:pPr>
      <w:r w:rsidRPr="00277642">
        <w:rPr>
          <w:rStyle w:val="FootnoteReference"/>
        </w:rPr>
        <w:footnoteRef/>
      </w:r>
      <w:r w:rsidRPr="00277642">
        <w:t xml:space="preserve"> </w:t>
      </w:r>
      <w:r w:rsidRPr="00277642">
        <w:rPr>
          <w:i/>
        </w:rPr>
        <w:t>See Application of Southwestern Public Service Company for Authority to Change Rates</w:t>
      </w:r>
      <w:r w:rsidRPr="00277642">
        <w:t>, Docket No.</w:t>
      </w:r>
      <w:r w:rsidR="003E5C95">
        <w:t> </w:t>
      </w:r>
      <w:r w:rsidRPr="00277642">
        <w:t>43695 Order at 45, Finding of Fact Nos. 248A and 249A (Feb. 23, 2017) (Docket No. 43695 Order) (stating that SPP requires that its members have capacity margins based on 1-CP, and that the use of 1-CP to calculate the system load factor best reflects cost causation because SPS uses a single system peak for resource planning).</w:t>
      </w:r>
    </w:p>
  </w:footnote>
  <w:footnote w:id="90">
    <w:p w:rsidR="008F209C" w:rsidRDefault="008F209C" w:rsidP="00A60A6F">
      <w:pPr>
        <w:pStyle w:val="FootnoteText"/>
      </w:pPr>
      <w:r>
        <w:rPr>
          <w:rStyle w:val="FootnoteReference"/>
        </w:rPr>
        <w:footnoteRef/>
      </w:r>
      <w:r>
        <w:t xml:space="preserve"> PFD at 314.</w:t>
      </w:r>
    </w:p>
  </w:footnote>
  <w:footnote w:id="91">
    <w:p w:rsidR="008F209C" w:rsidRPr="00E71689" w:rsidRDefault="008F209C" w:rsidP="00CA73CF">
      <w:pPr>
        <w:pStyle w:val="FootnoteText"/>
        <w:rPr>
          <w:highlight w:val="lightGray"/>
        </w:rPr>
      </w:pPr>
      <w:r w:rsidRPr="00585772">
        <w:rPr>
          <w:rStyle w:val="FootnoteReference"/>
        </w:rPr>
        <w:footnoteRef/>
      </w:r>
      <w:r w:rsidRPr="00585772">
        <w:t xml:space="preserve"> </w:t>
      </w:r>
      <w:r w:rsidRPr="00585772">
        <w:rPr>
          <w:i/>
        </w:rPr>
        <w:t xml:space="preserve">See </w:t>
      </w:r>
      <w:r w:rsidRPr="00585772">
        <w:t xml:space="preserve">Staff Initial Brief at 51; TIEC Initial Brief at 66; </w:t>
      </w:r>
      <w:r w:rsidRPr="00585772">
        <w:rPr>
          <w:i/>
        </w:rPr>
        <w:t xml:space="preserve">see also </w:t>
      </w:r>
      <w:r w:rsidRPr="00585772">
        <w:t>PFD at 313</w:t>
      </w:r>
      <w:r w:rsidR="003E5C95">
        <w:t>–3</w:t>
      </w:r>
      <w:r w:rsidRPr="00585772">
        <w:t>14.</w:t>
      </w:r>
    </w:p>
  </w:footnote>
  <w:footnote w:id="92">
    <w:p w:rsidR="008F209C" w:rsidRPr="00E71689" w:rsidRDefault="008F209C" w:rsidP="00CA73CF">
      <w:pPr>
        <w:pStyle w:val="FootnoteText"/>
        <w:rPr>
          <w:highlight w:val="lightGray"/>
        </w:rPr>
      </w:pPr>
      <w:r w:rsidRPr="00585772">
        <w:rPr>
          <w:rStyle w:val="FootnoteReference"/>
        </w:rPr>
        <w:footnoteRef/>
      </w:r>
      <w:r w:rsidRPr="00585772">
        <w:t xml:space="preserve"> PFD at 314 (citing Docket No. 43695 Order at 11). </w:t>
      </w:r>
    </w:p>
  </w:footnote>
  <w:footnote w:id="93">
    <w:p w:rsidR="008F209C" w:rsidRPr="00E71689" w:rsidRDefault="008F209C" w:rsidP="00CA73CF">
      <w:pPr>
        <w:pStyle w:val="FootnoteText"/>
        <w:rPr>
          <w:highlight w:val="lightGray"/>
        </w:rPr>
      </w:pPr>
      <w:r w:rsidRPr="00277642">
        <w:rPr>
          <w:rStyle w:val="FootnoteReference"/>
        </w:rPr>
        <w:footnoteRef/>
      </w:r>
      <w:r w:rsidRPr="00277642">
        <w:t xml:space="preserve"> </w:t>
      </w:r>
      <w:r w:rsidRPr="00277642">
        <w:rPr>
          <w:i/>
        </w:rPr>
        <w:t xml:space="preserve">See </w:t>
      </w:r>
      <w:r w:rsidRPr="00277642">
        <w:t>Docket No. 43695 Order at 11.</w:t>
      </w:r>
    </w:p>
  </w:footnote>
  <w:footnote w:id="94">
    <w:p w:rsidR="008F209C" w:rsidRPr="00E71689" w:rsidRDefault="008F209C" w:rsidP="00CA73CF">
      <w:pPr>
        <w:pStyle w:val="FootnoteText"/>
        <w:rPr>
          <w:highlight w:val="lightGray"/>
        </w:rPr>
      </w:pPr>
      <w:r w:rsidRPr="00585772">
        <w:rPr>
          <w:rStyle w:val="FootnoteReference"/>
        </w:rPr>
        <w:footnoteRef/>
      </w:r>
      <w:r w:rsidRPr="00585772">
        <w:t xml:space="preserve"> CARD Exceptions at 44–45.</w:t>
      </w:r>
    </w:p>
  </w:footnote>
  <w:footnote w:id="95">
    <w:p w:rsidR="008F209C" w:rsidRPr="00E71689" w:rsidRDefault="008F209C" w:rsidP="00CA73CF">
      <w:pPr>
        <w:pStyle w:val="FootnoteText"/>
        <w:rPr>
          <w:highlight w:val="lightGray"/>
        </w:rPr>
      </w:pPr>
      <w:r w:rsidRPr="006D754A">
        <w:rPr>
          <w:rStyle w:val="FootnoteReference"/>
        </w:rPr>
        <w:footnoteRef/>
      </w:r>
      <w:r w:rsidRPr="009713A1">
        <w:rPr>
          <w:rStyle w:val="FootnoteReference"/>
        </w:rPr>
        <w:t xml:space="preserve"> </w:t>
      </w:r>
      <w:r w:rsidRPr="006D754A">
        <w:t xml:space="preserve">OPUC Exceptions at 52. </w:t>
      </w:r>
    </w:p>
  </w:footnote>
  <w:footnote w:id="96">
    <w:p w:rsidR="008F209C" w:rsidRPr="00E71689" w:rsidRDefault="008F209C" w:rsidP="00CA73CF">
      <w:pPr>
        <w:autoSpaceDE w:val="0"/>
        <w:autoSpaceDN w:val="0"/>
        <w:adjustRightInd w:val="0"/>
        <w:spacing w:line="240" w:lineRule="auto"/>
        <w:rPr>
          <w:highlight w:val="lightGray"/>
        </w:rPr>
      </w:pPr>
      <w:r w:rsidRPr="009713A1">
        <w:rPr>
          <w:rStyle w:val="FootnoteReference"/>
        </w:rPr>
        <w:footnoteRef/>
      </w:r>
      <w:r w:rsidRPr="009713A1">
        <w:rPr>
          <w:sz w:val="20"/>
          <w:szCs w:val="20"/>
        </w:rPr>
        <w:t xml:space="preserve"> Staff Reply Brief at 44</w:t>
      </w:r>
      <w:r w:rsidRPr="00944FF6">
        <w:rPr>
          <w:sz w:val="20"/>
          <w:szCs w:val="20"/>
        </w:rPr>
        <w:t xml:space="preserve">; </w:t>
      </w:r>
      <w:r w:rsidRPr="00944FF6">
        <w:rPr>
          <w:i/>
          <w:sz w:val="20"/>
          <w:szCs w:val="20"/>
        </w:rPr>
        <w:t>see</w:t>
      </w:r>
      <w:r w:rsidRPr="00944FF6">
        <w:rPr>
          <w:sz w:val="20"/>
          <w:szCs w:val="20"/>
        </w:rPr>
        <w:t xml:space="preserve"> </w:t>
      </w:r>
      <w:r w:rsidR="00D52F5F">
        <w:rPr>
          <w:sz w:val="20"/>
          <w:szCs w:val="20"/>
        </w:rPr>
        <w:t>National Association of Regulatory Utility Commissioners, Electric Utility Cost Allocation Manual, TIEC</w:t>
      </w:r>
      <w:r w:rsidRPr="00944FF6">
        <w:rPr>
          <w:sz w:val="20"/>
          <w:szCs w:val="20"/>
        </w:rPr>
        <w:t xml:space="preserve"> Ex. 31 at 49 (stating that the average component of the A&amp;E 4-CP takes into account "that portion of the utility's generating capacity that would be needed if all customers used energy at a constant 100 percent load factor."); </w:t>
      </w:r>
      <w:r w:rsidRPr="00585772">
        <w:rPr>
          <w:i/>
          <w:iCs/>
          <w:sz w:val="20"/>
          <w:szCs w:val="20"/>
        </w:rPr>
        <w:t>see also Application of Entergy Texas, Inc. for Authority to Change Rates, Reconcile Fuel Costs, and Obtain Deferred Accounting Treatment</w:t>
      </w:r>
      <w:r w:rsidRPr="00585772">
        <w:rPr>
          <w:iCs/>
          <w:sz w:val="20"/>
          <w:szCs w:val="20"/>
        </w:rPr>
        <w:t>,</w:t>
      </w:r>
      <w:r w:rsidRPr="00585772">
        <w:rPr>
          <w:i/>
          <w:iCs/>
          <w:sz w:val="20"/>
          <w:szCs w:val="20"/>
        </w:rPr>
        <w:t xml:space="preserve"> </w:t>
      </w:r>
      <w:r w:rsidRPr="00585772">
        <w:rPr>
          <w:sz w:val="20"/>
          <w:szCs w:val="20"/>
        </w:rPr>
        <w:t>Docket No. 39896, Proposal for Decision at 270, n</w:t>
      </w:r>
      <w:r w:rsidR="003E5C95">
        <w:rPr>
          <w:sz w:val="20"/>
          <w:szCs w:val="20"/>
        </w:rPr>
        <w:t>.</w:t>
      </w:r>
      <w:r w:rsidRPr="00585772">
        <w:rPr>
          <w:sz w:val="20"/>
          <w:szCs w:val="20"/>
        </w:rPr>
        <w:t xml:space="preserve"> 898 (July 6, 2012) (explaining that the “Average” component of A&amp;E 4-CP comprises each rate class's average demand for the test year, weighted by the utility' s system load factor).</w:t>
      </w:r>
    </w:p>
  </w:footnote>
  <w:footnote w:id="97">
    <w:p w:rsidR="008F209C" w:rsidRPr="00E71689" w:rsidRDefault="008F209C" w:rsidP="00CA73CF">
      <w:pPr>
        <w:pStyle w:val="FootnoteText"/>
        <w:rPr>
          <w:highlight w:val="lightGray"/>
        </w:rPr>
      </w:pPr>
      <w:r w:rsidRPr="000A5936">
        <w:rPr>
          <w:rStyle w:val="FootnoteReference"/>
        </w:rPr>
        <w:footnoteRef/>
      </w:r>
      <w:r w:rsidRPr="000A5936">
        <w:t xml:space="preserve"> Docket No. 43695 Order at 11.</w:t>
      </w:r>
    </w:p>
  </w:footnote>
  <w:footnote w:id="98">
    <w:p w:rsidR="008F209C" w:rsidRPr="00E71689" w:rsidRDefault="008F209C" w:rsidP="00CA73CF">
      <w:pPr>
        <w:pStyle w:val="FootnoteText"/>
        <w:rPr>
          <w:highlight w:val="lightGray"/>
        </w:rPr>
      </w:pPr>
      <w:r w:rsidRPr="006D754A">
        <w:rPr>
          <w:rStyle w:val="FootnoteReference"/>
        </w:rPr>
        <w:footnoteRef/>
      </w:r>
      <w:r w:rsidRPr="006D754A">
        <w:t xml:space="preserve"> </w:t>
      </w:r>
      <w:r w:rsidRPr="006D754A">
        <w:rPr>
          <w:i/>
        </w:rPr>
        <w:t xml:space="preserve">See </w:t>
      </w:r>
      <w:r w:rsidRPr="006D754A">
        <w:t>OPUC Exceptions at 56; CARD Exceptions at 46.</w:t>
      </w:r>
    </w:p>
  </w:footnote>
  <w:footnote w:id="99">
    <w:p w:rsidR="008F209C" w:rsidRPr="009B117B" w:rsidRDefault="008F209C" w:rsidP="00CA73CF">
      <w:pPr>
        <w:autoSpaceDE w:val="0"/>
        <w:autoSpaceDN w:val="0"/>
        <w:adjustRightInd w:val="0"/>
        <w:spacing w:line="240" w:lineRule="auto"/>
      </w:pPr>
      <w:r w:rsidRPr="00277642">
        <w:rPr>
          <w:rStyle w:val="FootnoteReference"/>
        </w:rPr>
        <w:footnoteRef/>
      </w:r>
      <w:r w:rsidRPr="00277642">
        <w:rPr>
          <w:rStyle w:val="FootnoteReference"/>
        </w:rPr>
        <w:t xml:space="preserve"> </w:t>
      </w:r>
      <w:r w:rsidRPr="00277642">
        <w:rPr>
          <w:i/>
          <w:iCs/>
          <w:sz w:val="20"/>
          <w:szCs w:val="20"/>
        </w:rPr>
        <w:t xml:space="preserve">E.g. </w:t>
      </w:r>
      <w:r w:rsidRPr="00277642">
        <w:rPr>
          <w:sz w:val="20"/>
          <w:szCs w:val="20"/>
        </w:rPr>
        <w:t xml:space="preserve">Docket No. 43695 Order at 11 (finding that that the A&amp;E 4CP methodology, in combination with a system 1-CP load factor, is consistent with cost causation in </w:t>
      </w:r>
      <w:r w:rsidRPr="002174C8">
        <w:rPr>
          <w:sz w:val="20"/>
          <w:szCs w:val="20"/>
        </w:rPr>
        <w:t>generation and transmission systems); Docket No. 40443 Order at 45, Finding of Fact No. 271 (finding that SWEPCO should use the A&amp;E 4CP method for allocating transmission costs to the retail classes); Docket No. 39896, Order on Rehearing at 30, Finding of Fact No. 183 (Nov. 2, 2012) ("The [A&amp;E 4-CP] method for allocating capacity-related</w:t>
      </w:r>
      <w:r w:rsidRPr="00A5251C">
        <w:rPr>
          <w:sz w:val="20"/>
          <w:szCs w:val="20"/>
        </w:rPr>
        <w:t xml:space="preserve"> production costs, including reserve equalization payments, to the retail classes is a standard methodology and the most reasonable methodology"); </w:t>
      </w:r>
      <w:r w:rsidRPr="00A5251C">
        <w:rPr>
          <w:i/>
          <w:iCs/>
          <w:sz w:val="20"/>
          <w:szCs w:val="20"/>
        </w:rPr>
        <w:t>Application of Entergy Texas for Approval of Its Transition to Competition Plan and the Tariffs Implementing the Plan, and for the Authority to Reconcile Fuel Costs, to Set Revised Fuel Factors, and to Recover a Surcharge for Under-Recovered</w:t>
      </w:r>
      <w:r w:rsidRPr="00E71689">
        <w:rPr>
          <w:i/>
          <w:iCs/>
          <w:sz w:val="20"/>
          <w:szCs w:val="20"/>
          <w:highlight w:val="lightGray"/>
        </w:rPr>
        <w:t xml:space="preserve"> </w:t>
      </w:r>
      <w:r w:rsidRPr="00A5251C">
        <w:rPr>
          <w:i/>
          <w:iCs/>
          <w:sz w:val="20"/>
          <w:szCs w:val="20"/>
        </w:rPr>
        <w:t xml:space="preserve">Fuel Costs, </w:t>
      </w:r>
      <w:r w:rsidRPr="00A5251C">
        <w:rPr>
          <w:sz w:val="20"/>
          <w:szCs w:val="20"/>
        </w:rPr>
        <w:t xml:space="preserve">Docket No. 16705, Second Order on Rehearing at 97, Finding of Fact No. 221 (Oct. 14, 1998) ("The </w:t>
      </w:r>
      <w:r w:rsidRPr="009B117B">
        <w:rPr>
          <w:sz w:val="20"/>
          <w:szCs w:val="20"/>
        </w:rPr>
        <w:t>continued use of the A&amp;E 4CP allocator is the most reasonable methodology for allocating production and transmission plant among classes.").</w:t>
      </w:r>
    </w:p>
  </w:footnote>
  <w:footnote w:id="100">
    <w:p w:rsidR="008F209C" w:rsidRPr="00E71689" w:rsidRDefault="008F209C" w:rsidP="00CA73CF">
      <w:pPr>
        <w:pStyle w:val="FootnoteText"/>
        <w:rPr>
          <w:highlight w:val="lightGray"/>
        </w:rPr>
      </w:pPr>
      <w:r w:rsidRPr="009B117B">
        <w:rPr>
          <w:rStyle w:val="FootnoteReference"/>
        </w:rPr>
        <w:footnoteRef/>
      </w:r>
      <w:r w:rsidRPr="009B117B">
        <w:t xml:space="preserve"> </w:t>
      </w:r>
      <w:r w:rsidRPr="009B117B">
        <w:rPr>
          <w:i/>
        </w:rPr>
        <w:t xml:space="preserve">See </w:t>
      </w:r>
      <w:r w:rsidRPr="009B117B">
        <w:t>Direct Testimony of Adrian Narvaez</w:t>
      </w:r>
      <w:r w:rsidR="009B117B" w:rsidRPr="009B117B">
        <w:t xml:space="preserve"> (Narvaez Direct)</w:t>
      </w:r>
      <w:r w:rsidRPr="009B117B">
        <w:rPr>
          <w:i/>
        </w:rPr>
        <w:t xml:space="preserve">, </w:t>
      </w:r>
      <w:r w:rsidRPr="009B117B">
        <w:t>Staff Ex. 2 at 16; Rebuttal Testimony of John O. Aaron (Aaron Rebuttal), SWEPCO Ex. 40 at 3; Direct Testimony of Jeffry Pollock, TIEC Ex. 1 at 55</w:t>
      </w:r>
      <w:r w:rsidR="003E5C95">
        <w:t>–</w:t>
      </w:r>
      <w:r w:rsidRPr="009B117B">
        <w:t>56; Docket No. 40443 Order at 45, Finding of Fact No. 268.</w:t>
      </w:r>
    </w:p>
  </w:footnote>
  <w:footnote w:id="101">
    <w:p w:rsidR="008F209C" w:rsidRPr="00E71689" w:rsidRDefault="008F209C" w:rsidP="00CA73CF">
      <w:pPr>
        <w:pStyle w:val="FootnoteText"/>
        <w:rPr>
          <w:highlight w:val="lightGray"/>
        </w:rPr>
      </w:pPr>
      <w:r w:rsidRPr="003A4BA3">
        <w:rPr>
          <w:rStyle w:val="FootnoteReference"/>
        </w:rPr>
        <w:footnoteRef/>
      </w:r>
      <w:r w:rsidRPr="003A4BA3">
        <w:t xml:space="preserve"> </w:t>
      </w:r>
      <w:r w:rsidRPr="003A4BA3">
        <w:rPr>
          <w:i/>
        </w:rPr>
        <w:t xml:space="preserve">See </w:t>
      </w:r>
      <w:r w:rsidRPr="003A4BA3">
        <w:t xml:space="preserve">Narvaez Direct, Staff Ex. 2 at 16–17; </w:t>
      </w:r>
      <w:r w:rsidRPr="003A4BA3">
        <w:rPr>
          <w:i/>
        </w:rPr>
        <w:t xml:space="preserve">see also </w:t>
      </w:r>
      <w:r w:rsidRPr="003A4BA3">
        <w:t>Do</w:t>
      </w:r>
      <w:r w:rsidRPr="00277642">
        <w:t>cket No. 40443 Order at 45, Finding of Fact No.</w:t>
      </w:r>
      <w:r w:rsidR="003E5C95">
        <w:t> </w:t>
      </w:r>
      <w:r w:rsidRPr="00277642">
        <w:t>269.</w:t>
      </w:r>
      <w:r w:rsidRPr="00E71689">
        <w:rPr>
          <w:highlight w:val="lightGray"/>
        </w:rPr>
        <w:t xml:space="preserve"> </w:t>
      </w:r>
    </w:p>
  </w:footnote>
  <w:footnote w:id="102">
    <w:p w:rsidR="008F209C" w:rsidRPr="00E71689" w:rsidRDefault="008F209C" w:rsidP="00CA73CF">
      <w:pPr>
        <w:pStyle w:val="FootnoteText"/>
        <w:rPr>
          <w:highlight w:val="lightGray"/>
        </w:rPr>
      </w:pPr>
      <w:r w:rsidRPr="009B117B">
        <w:rPr>
          <w:rStyle w:val="FootnoteReference"/>
        </w:rPr>
        <w:footnoteRef/>
      </w:r>
      <w:r w:rsidRPr="009B117B">
        <w:t xml:space="preserve"> Direct Testimony of Jeffry Pollock, TIEC Ex. 1 at 56; </w:t>
      </w:r>
      <w:r w:rsidR="009B117B" w:rsidRPr="009B117B">
        <w:t>Narvaez Direct</w:t>
      </w:r>
      <w:r w:rsidRPr="009B117B">
        <w:t>, Staff Ex. 2 at 16</w:t>
      </w:r>
      <w:r w:rsidR="003B1AA7">
        <w:t>–</w:t>
      </w:r>
      <w:r w:rsidRPr="009B117B">
        <w:t xml:space="preserve">17; </w:t>
      </w:r>
      <w:r w:rsidRPr="009B117B">
        <w:rPr>
          <w:i/>
        </w:rPr>
        <w:t>see also</w:t>
      </w:r>
      <w:r w:rsidRPr="00277642">
        <w:rPr>
          <w:i/>
        </w:rPr>
        <w:t xml:space="preserve"> </w:t>
      </w:r>
      <w:r w:rsidRPr="00277642">
        <w:t>Docket No. 40443 Order at 45, Finding of Fact No. 269.</w:t>
      </w:r>
    </w:p>
  </w:footnote>
  <w:footnote w:id="103">
    <w:p w:rsidR="008F209C" w:rsidRPr="00E71689" w:rsidRDefault="008F209C" w:rsidP="00CA73CF">
      <w:pPr>
        <w:pStyle w:val="FootnoteText"/>
        <w:rPr>
          <w:highlight w:val="lightGray"/>
        </w:rPr>
      </w:pPr>
      <w:r w:rsidRPr="006D754A">
        <w:rPr>
          <w:rStyle w:val="FootnoteReference"/>
        </w:rPr>
        <w:footnoteRef/>
      </w:r>
      <w:r w:rsidRPr="006D754A">
        <w:t xml:space="preserve"> </w:t>
      </w:r>
      <w:r w:rsidRPr="006D754A">
        <w:rPr>
          <w:i/>
        </w:rPr>
        <w:t xml:space="preserve">See </w:t>
      </w:r>
      <w:r w:rsidRPr="006D754A">
        <w:t>OPUC Exceptions at 56.</w:t>
      </w:r>
    </w:p>
  </w:footnote>
  <w:footnote w:id="104">
    <w:p w:rsidR="008F209C" w:rsidRPr="00E71689" w:rsidRDefault="008F209C" w:rsidP="00CA73CF">
      <w:pPr>
        <w:pStyle w:val="FootnoteText"/>
        <w:rPr>
          <w:highlight w:val="lightGray"/>
        </w:rPr>
      </w:pPr>
      <w:r w:rsidRPr="00A5251C">
        <w:rPr>
          <w:rStyle w:val="FootnoteReference"/>
        </w:rPr>
        <w:footnoteRef/>
      </w:r>
      <w:r w:rsidRPr="00A5251C">
        <w:t xml:space="preserve"> </w:t>
      </w:r>
      <w:r w:rsidRPr="00A5251C">
        <w:rPr>
          <w:i/>
        </w:rPr>
        <w:t>Application of El Paso Electric Company to Change Rates</w:t>
      </w:r>
      <w:r w:rsidRPr="00A5251C">
        <w:t xml:space="preserve">, Docket No. 44941 (Aug. 25, 2016); </w:t>
      </w:r>
      <w:r w:rsidRPr="00A5251C">
        <w:rPr>
          <w:i/>
        </w:rPr>
        <w:t>Application of El Paso Electric Company to Change Rates and to Reconcile Fuel Costs</w:t>
      </w:r>
      <w:r w:rsidRPr="00A5251C">
        <w:t xml:space="preserve">, Docket No. 40094 (May 22, 2012); </w:t>
      </w:r>
      <w:r w:rsidRPr="00A5251C">
        <w:rPr>
          <w:i/>
        </w:rPr>
        <w:t>Application of El Paso Electric Company to Change Rates, to Reconcile Fuel Costs, to Establish Formula-Based Fuel Factors, and to Establish an Energy Efficiency Cost Recovery Factor</w:t>
      </w:r>
      <w:r w:rsidRPr="00A5251C">
        <w:t>, Docket No. 37690 (July 30, 2010).</w:t>
      </w:r>
    </w:p>
  </w:footnote>
  <w:footnote w:id="105">
    <w:p w:rsidR="008F209C" w:rsidRPr="00E71689" w:rsidRDefault="008F209C" w:rsidP="00CA73CF">
      <w:pPr>
        <w:pStyle w:val="FootnoteText"/>
        <w:rPr>
          <w:highlight w:val="lightGray"/>
        </w:rPr>
      </w:pPr>
      <w:r w:rsidRPr="00A5251C">
        <w:rPr>
          <w:rStyle w:val="FootnoteReference"/>
        </w:rPr>
        <w:footnoteRef/>
      </w:r>
      <w:r w:rsidRPr="00A5251C">
        <w:t xml:space="preserve"> </w:t>
      </w:r>
      <w:r w:rsidRPr="00A5251C">
        <w:rPr>
          <w:i/>
        </w:rPr>
        <w:t>Application of El Paso Electric Company to Change Rates</w:t>
      </w:r>
      <w:r w:rsidRPr="00A5251C">
        <w:t xml:space="preserve">, Docket No. 46831 (pending). </w:t>
      </w:r>
    </w:p>
  </w:footnote>
  <w:footnote w:id="106">
    <w:p w:rsidR="008F209C" w:rsidRPr="00E71689" w:rsidRDefault="008F209C" w:rsidP="009713A1">
      <w:pPr>
        <w:pStyle w:val="FootnoteText"/>
        <w:tabs>
          <w:tab w:val="left" w:pos="600"/>
        </w:tabs>
        <w:rPr>
          <w:highlight w:val="lightGray"/>
        </w:rPr>
      </w:pPr>
      <w:r w:rsidRPr="00585772">
        <w:rPr>
          <w:rStyle w:val="FootnoteReference"/>
        </w:rPr>
        <w:footnoteRef/>
      </w:r>
      <w:r w:rsidRPr="00585772">
        <w:rPr>
          <w:rStyle w:val="FootnoteReference"/>
        </w:rPr>
        <w:t xml:space="preserve"> </w:t>
      </w:r>
      <w:r w:rsidRPr="00585772">
        <w:t>CARD Exceptions at 46–47; TIEC Exceptions at 20–22; East Test Salt Water Disposal Company and East Texas Oil and Gas Producers Exceptions to the Proposal for Decision at 1–7 (Oct. 16, 2017) (ETSWD Exceptions).</w:t>
      </w:r>
    </w:p>
  </w:footnote>
  <w:footnote w:id="107">
    <w:p w:rsidR="008F209C" w:rsidRPr="00406295" w:rsidRDefault="008F209C" w:rsidP="00F70D8E">
      <w:pPr>
        <w:pStyle w:val="FootnoteText"/>
        <w:rPr>
          <w:color w:val="FF0000"/>
        </w:rPr>
      </w:pPr>
      <w:r w:rsidRPr="00DD0B9C">
        <w:rPr>
          <w:rStyle w:val="FootnoteReference"/>
        </w:rPr>
        <w:footnoteRef/>
      </w:r>
      <w:r w:rsidRPr="00DD0B9C">
        <w:t xml:space="preserve"> </w:t>
      </w:r>
      <w:r>
        <w:t>Initial Brief of Southwestern Electric Power Company at 174 (Jul. 6, 2017) (describing SWEPCO’s rate class bundling proposal); Aaron Rebuttal, SWEPCO Ex. 40 at 21–</w:t>
      </w:r>
      <w:r w:rsidRPr="00DD0B9C">
        <w:t>22 (</w:t>
      </w:r>
      <w:r>
        <w:t>supporting SWEPCO’s application of gradualism adjustments gross of existing TCRF and DCRF revenues and stating that, “[w]</w:t>
      </w:r>
      <w:r w:rsidRPr="00DD0B9C">
        <w:t>ith SWEPCO’s proposed major rate class groupings, when an increase for a rate class is moderated, the difference in cost responsibility is assigned only within t</w:t>
      </w:r>
      <w:r>
        <w:t>he major rate class grouping.”).</w:t>
      </w:r>
    </w:p>
  </w:footnote>
  <w:footnote w:id="108">
    <w:p w:rsidR="008F209C" w:rsidRPr="00E71689" w:rsidRDefault="008F209C" w:rsidP="009713A1">
      <w:pPr>
        <w:pStyle w:val="FootnoteText"/>
        <w:tabs>
          <w:tab w:val="left" w:pos="600"/>
        </w:tabs>
        <w:rPr>
          <w:highlight w:val="lightGray"/>
        </w:rPr>
      </w:pPr>
      <w:r w:rsidRPr="00F70D8E">
        <w:rPr>
          <w:rStyle w:val="FootnoteReference"/>
        </w:rPr>
        <w:footnoteRef/>
      </w:r>
      <w:r w:rsidRPr="00F70D8E">
        <w:rPr>
          <w:rStyle w:val="FootnoteReference"/>
        </w:rPr>
        <w:t xml:space="preserve"> </w:t>
      </w:r>
      <w:r w:rsidRPr="00F70D8E">
        <w:t>Direct Testimony of William B. Abbott (Abbott Direct), Staff Ex. 1A at 14–15.</w:t>
      </w:r>
    </w:p>
  </w:footnote>
  <w:footnote w:id="109">
    <w:p w:rsidR="008F209C" w:rsidRPr="00E71689" w:rsidRDefault="008F209C" w:rsidP="009713A1">
      <w:pPr>
        <w:pStyle w:val="FootnoteText"/>
        <w:tabs>
          <w:tab w:val="left" w:pos="600"/>
        </w:tabs>
        <w:rPr>
          <w:highlight w:val="lightGray"/>
        </w:rPr>
      </w:pPr>
      <w:r w:rsidRPr="00A5251C">
        <w:rPr>
          <w:rStyle w:val="FootnoteReference"/>
        </w:rPr>
        <w:footnoteRef/>
      </w:r>
      <w:r w:rsidRPr="00A5251C">
        <w:rPr>
          <w:rStyle w:val="FootnoteReference"/>
        </w:rPr>
        <w:t xml:space="preserve"> </w:t>
      </w:r>
      <w:r w:rsidRPr="00A5251C">
        <w:t>TIEC Exceptions at 21–22.</w:t>
      </w:r>
    </w:p>
  </w:footnote>
  <w:footnote w:id="110">
    <w:p w:rsidR="008F209C" w:rsidRPr="00E71689" w:rsidRDefault="008F209C" w:rsidP="009713A1">
      <w:pPr>
        <w:pStyle w:val="FootnoteText"/>
        <w:tabs>
          <w:tab w:val="left" w:pos="600"/>
        </w:tabs>
        <w:rPr>
          <w:highlight w:val="lightGray"/>
        </w:rPr>
      </w:pPr>
      <w:r w:rsidRPr="00B87035">
        <w:rPr>
          <w:rStyle w:val="FootnoteReference"/>
        </w:rPr>
        <w:footnoteRef/>
      </w:r>
      <w:r w:rsidRPr="00B87035">
        <w:rPr>
          <w:rStyle w:val="FootnoteReference"/>
        </w:rPr>
        <w:t xml:space="preserve"> </w:t>
      </w:r>
      <w:r w:rsidRPr="00B87035">
        <w:t>Abbott Direct, Staff Ex. 1A at 8–14 (testifying that SWEPCO’s bundling proposal is inconsistent with recent precedent favoring enhanced granularity in revenue distribution, including Docket No. 43695).</w:t>
      </w:r>
    </w:p>
  </w:footnote>
  <w:footnote w:id="111">
    <w:p w:rsidR="008F209C" w:rsidRPr="008F209C" w:rsidRDefault="008F209C" w:rsidP="00CA73CF">
      <w:pPr>
        <w:pStyle w:val="FootnoteText"/>
      </w:pPr>
      <w:r w:rsidRPr="00585772">
        <w:rPr>
          <w:rStyle w:val="FootnoteReference"/>
        </w:rPr>
        <w:footnoteRef/>
      </w:r>
      <w:r w:rsidRPr="00585772">
        <w:t xml:space="preserve"> </w:t>
      </w:r>
      <w:r w:rsidRPr="00585772">
        <w:rPr>
          <w:i/>
        </w:rPr>
        <w:t>Id.</w:t>
      </w:r>
      <w:r w:rsidRPr="00585772">
        <w:t xml:space="preserve"> at 14–15; Transmission of Corrections to Number Running Schedules, PFD Attachment C and Schedule D (Sept. 25, 2017) (PFD Number-Running Schedules) (showing the results of the PFD’s class cost of service study a</w:t>
      </w:r>
      <w:r w:rsidRPr="008F209C">
        <w:t>nd rate design).</w:t>
      </w:r>
    </w:p>
  </w:footnote>
  <w:footnote w:id="112">
    <w:p w:rsidR="008F209C" w:rsidRPr="008F209C" w:rsidRDefault="008F209C" w:rsidP="00CA73CF">
      <w:pPr>
        <w:pStyle w:val="FootnoteText"/>
        <w:tabs>
          <w:tab w:val="left" w:pos="600"/>
        </w:tabs>
      </w:pPr>
      <w:r w:rsidRPr="008F209C">
        <w:rPr>
          <w:rStyle w:val="FootnoteReference"/>
        </w:rPr>
        <w:footnoteRef/>
      </w:r>
      <w:r w:rsidRPr="008F209C">
        <w:rPr>
          <w:rStyle w:val="FootnoteReference"/>
        </w:rPr>
        <w:t xml:space="preserve"> </w:t>
      </w:r>
      <w:r w:rsidRPr="008F209C">
        <w:t>16 TAC § 25.5(100) (defining “rate class” as a group of customers taking service under a single rate schedule).</w:t>
      </w:r>
    </w:p>
  </w:footnote>
  <w:footnote w:id="113">
    <w:p w:rsidR="008F209C" w:rsidRPr="008F209C" w:rsidRDefault="008F209C" w:rsidP="00CA73CF">
      <w:pPr>
        <w:pStyle w:val="FootnoteText"/>
        <w:tabs>
          <w:tab w:val="left" w:pos="600"/>
        </w:tabs>
      </w:pPr>
      <w:r w:rsidRPr="008F209C">
        <w:rPr>
          <w:rStyle w:val="FootnoteReference"/>
        </w:rPr>
        <w:footnoteRef/>
      </w:r>
      <w:r w:rsidRPr="008F209C">
        <w:rPr>
          <w:rStyle w:val="FootnoteReference"/>
        </w:rPr>
        <w:t xml:space="preserve"> </w:t>
      </w:r>
      <w:r w:rsidRPr="008F209C">
        <w:t>Pollock Direct, TIEC Ex. 1, Exhibit JP-13.</w:t>
      </w:r>
    </w:p>
  </w:footnote>
  <w:footnote w:id="114">
    <w:p w:rsidR="008F209C" w:rsidRPr="008F209C" w:rsidRDefault="008F209C" w:rsidP="00CA73CF">
      <w:pPr>
        <w:pStyle w:val="FootnoteText"/>
        <w:tabs>
          <w:tab w:val="left" w:pos="600"/>
        </w:tabs>
      </w:pPr>
      <w:r w:rsidRPr="008F209C">
        <w:rPr>
          <w:rStyle w:val="FootnoteReference"/>
        </w:rPr>
        <w:footnoteRef/>
      </w:r>
      <w:r w:rsidRPr="008F209C">
        <w:rPr>
          <w:rStyle w:val="FootnoteReference"/>
        </w:rPr>
        <w:t xml:space="preserve"> </w:t>
      </w:r>
      <w:r w:rsidRPr="008F209C">
        <w:rPr>
          <w:rStyle w:val="Emphasis"/>
        </w:rPr>
        <w:t>Compare</w:t>
      </w:r>
      <w:r w:rsidRPr="008F209C">
        <w:t xml:space="preserve"> SWEPCO Ex. 1C, Schedule Q-8.8 at 19 (showing a rate schedule for Metal Melting customers at distribution voltages), </w:t>
      </w:r>
      <w:r w:rsidRPr="008F209C">
        <w:rPr>
          <w:rStyle w:val="Emphasis"/>
        </w:rPr>
        <w:t>with</w:t>
      </w:r>
      <w:r w:rsidRPr="008F209C">
        <w:t xml:space="preserve"> </w:t>
      </w:r>
      <w:r w:rsidRPr="008F209C">
        <w:rPr>
          <w:rStyle w:val="Emphasis"/>
        </w:rPr>
        <w:t>id.</w:t>
      </w:r>
      <w:r w:rsidRPr="008F209C">
        <w:t xml:space="preserve"> at 21 (showing a rate schedule for Metal Melting customers at transmission voltage). TIEC witness Jeffry Pollock’s direct testimony acknowledges that these customers take service under two separate tariffs. Pollock Direct, TIEC Ex. 1 at 63 (noting in a table that “Metal Melting Distribution” and “Metal Melting </w:t>
      </w:r>
      <w:r w:rsidRPr="008F209C">
        <w:rPr>
          <w:rFonts w:ascii="Arial" w:hAnsi="Arial" w:cs="Arial"/>
          <w:color w:val="222222"/>
          <w:sz w:val="21"/>
          <w:szCs w:val="21"/>
          <w:shd w:val="clear" w:color="auto" w:fill="FFFFFF"/>
        </w:rPr>
        <w:t>≥</w:t>
      </w:r>
      <w:r w:rsidRPr="008F209C">
        <w:t xml:space="preserve"> 69 kV” are two separate tariffs).</w:t>
      </w:r>
    </w:p>
  </w:footnote>
  <w:footnote w:id="115">
    <w:p w:rsidR="008F209C" w:rsidRPr="008F209C" w:rsidRDefault="008F209C" w:rsidP="00CA73CF">
      <w:pPr>
        <w:pStyle w:val="FootnoteText"/>
        <w:tabs>
          <w:tab w:val="left" w:pos="600"/>
        </w:tabs>
      </w:pPr>
      <w:r w:rsidRPr="008F209C">
        <w:rPr>
          <w:rStyle w:val="FootnoteReference"/>
        </w:rPr>
        <w:footnoteRef/>
      </w:r>
      <w:r w:rsidRPr="008F209C">
        <w:rPr>
          <w:rStyle w:val="FootnoteReference"/>
        </w:rPr>
        <w:t xml:space="preserve"> </w:t>
      </w:r>
      <w:r w:rsidRPr="008F209C">
        <w:t>Pollock Direct, TIEC Ex. 1, Exhibit JP-13 and Exhibit JP-14 (showing Mr. Pollock’s proposed revenue distribution at the bundle-level, but not showing further distributions).</w:t>
      </w:r>
    </w:p>
  </w:footnote>
  <w:footnote w:id="116">
    <w:p w:rsidR="008F209C" w:rsidRPr="008F209C" w:rsidRDefault="008F209C" w:rsidP="00CA73CF">
      <w:pPr>
        <w:pStyle w:val="FootnoteText"/>
        <w:tabs>
          <w:tab w:val="left" w:pos="600"/>
        </w:tabs>
      </w:pPr>
      <w:r w:rsidRPr="008F209C">
        <w:rPr>
          <w:rStyle w:val="FootnoteReference"/>
        </w:rPr>
        <w:footnoteRef/>
      </w:r>
      <w:r w:rsidRPr="008F209C">
        <w:rPr>
          <w:rStyle w:val="FootnoteReference"/>
        </w:rPr>
        <w:t xml:space="preserve"> </w:t>
      </w:r>
      <w:r w:rsidRPr="008F209C">
        <w:rPr>
          <w:rStyle w:val="Emphasis"/>
        </w:rPr>
        <w:t>Id.</w:t>
      </w:r>
    </w:p>
  </w:footnote>
  <w:footnote w:id="117">
    <w:p w:rsidR="008F209C" w:rsidRPr="008F209C" w:rsidRDefault="008F209C" w:rsidP="00CA73CF">
      <w:pPr>
        <w:pStyle w:val="FootnoteText"/>
        <w:tabs>
          <w:tab w:val="left" w:pos="600"/>
        </w:tabs>
      </w:pPr>
      <w:r w:rsidRPr="008F209C">
        <w:rPr>
          <w:rStyle w:val="FootnoteReference"/>
        </w:rPr>
        <w:footnoteRef/>
      </w:r>
      <w:r w:rsidRPr="008F209C">
        <w:rPr>
          <w:rStyle w:val="FootnoteReference"/>
        </w:rPr>
        <w:t xml:space="preserve"> </w:t>
      </w:r>
      <w:r w:rsidRPr="008F209C">
        <w:t>Texas Industrial Energy Consumers’ Reply Brief at 56 (Jul. 20, 2017).</w:t>
      </w:r>
    </w:p>
  </w:footnote>
  <w:footnote w:id="118">
    <w:p w:rsidR="008F209C" w:rsidRPr="008F209C" w:rsidRDefault="008F209C" w:rsidP="00CA73CF">
      <w:pPr>
        <w:pStyle w:val="FootnoteText"/>
        <w:tabs>
          <w:tab w:val="left" w:pos="600"/>
        </w:tabs>
      </w:pPr>
      <w:r w:rsidRPr="008F209C">
        <w:rPr>
          <w:rStyle w:val="FootnoteReference"/>
        </w:rPr>
        <w:footnoteRef/>
      </w:r>
      <w:r w:rsidRPr="008F209C">
        <w:rPr>
          <w:rStyle w:val="FootnoteReference"/>
        </w:rPr>
        <w:t xml:space="preserve"> </w:t>
      </w:r>
      <w:r w:rsidRPr="008F209C">
        <w:t>Narvaez Direct, Staff Ex. 2, Attachment AN-4 and Attachment AN-6; Abbott Direct, Staff Ex. 1A, Attachment WBA-1 (showing each step of the revenue allocation and rate design process in granular class-by-class detail).</w:t>
      </w:r>
    </w:p>
  </w:footnote>
  <w:footnote w:id="119">
    <w:p w:rsidR="008F209C" w:rsidRPr="008F209C" w:rsidRDefault="008F209C" w:rsidP="00CA73CF">
      <w:pPr>
        <w:pStyle w:val="FootnoteText"/>
        <w:tabs>
          <w:tab w:val="left" w:pos="600"/>
        </w:tabs>
      </w:pPr>
      <w:r w:rsidRPr="008F209C">
        <w:rPr>
          <w:rStyle w:val="FootnoteReference"/>
        </w:rPr>
        <w:footnoteRef/>
      </w:r>
      <w:r w:rsidRPr="008F209C">
        <w:rPr>
          <w:rStyle w:val="FootnoteReference"/>
        </w:rPr>
        <w:t xml:space="preserve"> </w:t>
      </w:r>
      <w:r w:rsidRPr="008F209C">
        <w:t>Direct Testimony of John O. Aaron, SWEPCO Ex. 38 at 21 (agreeing that TCRF and DCRF riders “recover base rate-related costs”).</w:t>
      </w:r>
    </w:p>
  </w:footnote>
  <w:footnote w:id="120">
    <w:p w:rsidR="008F209C" w:rsidRPr="008F209C" w:rsidRDefault="008F209C" w:rsidP="00CA73CF">
      <w:pPr>
        <w:pStyle w:val="FootnoteText"/>
        <w:tabs>
          <w:tab w:val="left" w:pos="600"/>
        </w:tabs>
      </w:pPr>
      <w:r w:rsidRPr="008F209C">
        <w:rPr>
          <w:rStyle w:val="FootnoteReference"/>
        </w:rPr>
        <w:footnoteRef/>
      </w:r>
      <w:r w:rsidRPr="008F209C">
        <w:rPr>
          <w:rStyle w:val="FootnoteReference"/>
        </w:rPr>
        <w:t xml:space="preserve"> </w:t>
      </w:r>
      <w:r w:rsidRPr="008F209C">
        <w:t>Abbott Direct, Staff Ex. 1A at 7.</w:t>
      </w:r>
    </w:p>
  </w:footnote>
  <w:footnote w:id="121">
    <w:p w:rsidR="008F209C" w:rsidRPr="00E71689" w:rsidRDefault="008F209C" w:rsidP="00CA73CF">
      <w:pPr>
        <w:pStyle w:val="FootnoteText"/>
        <w:tabs>
          <w:tab w:val="left" w:pos="600"/>
        </w:tabs>
        <w:rPr>
          <w:highlight w:val="lightGray"/>
        </w:rPr>
      </w:pPr>
      <w:r w:rsidRPr="008F209C">
        <w:rPr>
          <w:rStyle w:val="FootnoteReference"/>
        </w:rPr>
        <w:footnoteRef/>
      </w:r>
      <w:r w:rsidRPr="001D304E">
        <w:rPr>
          <w:rStyle w:val="FootnoteReference"/>
        </w:rPr>
        <w:t xml:space="preserve"> </w:t>
      </w:r>
      <w:r w:rsidRPr="001D304E">
        <w:rPr>
          <w:i/>
        </w:rPr>
        <w:t>Id.</w:t>
      </w:r>
      <w:r w:rsidRPr="001D304E">
        <w:t xml:space="preserve"> at 7 (testifying that “[i]n this proceeding the currently-existing TCRF and DCRF rates will be set to zero, and the </w:t>
      </w:r>
      <w:r w:rsidRPr="00585772">
        <w:t>related costs are effectively “rolled into” base rates); PFD Number-Running Schedules, PFD Attachment C (showing a “Proposed PFD Gross Increase” of $87 million, compared with a “Proposed PFD Net Increase” of $50 million).</w:t>
      </w:r>
    </w:p>
  </w:footnote>
  <w:footnote w:id="122">
    <w:p w:rsidR="008F209C" w:rsidRPr="00585772" w:rsidRDefault="008F209C" w:rsidP="00CA73CF">
      <w:pPr>
        <w:pStyle w:val="FootnoteText"/>
        <w:tabs>
          <w:tab w:val="left" w:pos="600"/>
        </w:tabs>
      </w:pPr>
      <w:r w:rsidRPr="00585772">
        <w:rPr>
          <w:rStyle w:val="FootnoteReference"/>
        </w:rPr>
        <w:footnoteRef/>
      </w:r>
      <w:r w:rsidRPr="00585772">
        <w:rPr>
          <w:rStyle w:val="FootnoteReference"/>
        </w:rPr>
        <w:t xml:space="preserve"> </w:t>
      </w:r>
      <w:r w:rsidRPr="00585772">
        <w:t>Number Running Communications at 12, 33 (Sept. 22, 2017).</w:t>
      </w:r>
    </w:p>
  </w:footnote>
  <w:footnote w:id="123">
    <w:p w:rsidR="008F209C" w:rsidRPr="00E71689" w:rsidRDefault="008F209C" w:rsidP="00CA73CF">
      <w:pPr>
        <w:pStyle w:val="FootnoteText"/>
        <w:tabs>
          <w:tab w:val="left" w:pos="600"/>
        </w:tabs>
        <w:rPr>
          <w:highlight w:val="lightGray"/>
        </w:rPr>
      </w:pPr>
      <w:r w:rsidRPr="00585772">
        <w:rPr>
          <w:rStyle w:val="FootnoteReference"/>
        </w:rPr>
        <w:footnoteRef/>
      </w:r>
      <w:r w:rsidRPr="00585772">
        <w:rPr>
          <w:rStyle w:val="FootnoteReference"/>
        </w:rPr>
        <w:t xml:space="preserve"> </w:t>
      </w:r>
      <w:r w:rsidRPr="00585772">
        <w:t>CARD Exceptions at 47.</w:t>
      </w:r>
    </w:p>
  </w:footnote>
  <w:footnote w:id="124">
    <w:p w:rsidR="008F209C" w:rsidRPr="001D304E" w:rsidRDefault="008F209C" w:rsidP="00CA73CF">
      <w:pPr>
        <w:pStyle w:val="FootnoteText"/>
        <w:tabs>
          <w:tab w:val="left" w:pos="600"/>
        </w:tabs>
      </w:pPr>
      <w:r w:rsidRPr="001D304E">
        <w:rPr>
          <w:rStyle w:val="FootnoteReference"/>
        </w:rPr>
        <w:footnoteRef/>
      </w:r>
      <w:r w:rsidRPr="001D304E">
        <w:rPr>
          <w:rStyle w:val="FootnoteReference"/>
        </w:rPr>
        <w:t xml:space="preserve"> </w:t>
      </w:r>
      <w:r w:rsidRPr="001D304E">
        <w:rPr>
          <w:rStyle w:val="Emphasis"/>
        </w:rPr>
        <w:t>Id.</w:t>
      </w:r>
    </w:p>
  </w:footnote>
  <w:footnote w:id="125">
    <w:p w:rsidR="008F209C" w:rsidRPr="001D304E" w:rsidRDefault="008F209C" w:rsidP="00CA73CF">
      <w:pPr>
        <w:pStyle w:val="FootnoteText"/>
        <w:tabs>
          <w:tab w:val="left" w:pos="600"/>
        </w:tabs>
      </w:pPr>
      <w:r w:rsidRPr="001D304E">
        <w:rPr>
          <w:rStyle w:val="FootnoteReference"/>
        </w:rPr>
        <w:footnoteRef/>
      </w:r>
      <w:r w:rsidRPr="001D304E">
        <w:rPr>
          <w:rStyle w:val="FootnoteReference"/>
        </w:rPr>
        <w:t xml:space="preserve"> </w:t>
      </w:r>
      <w:r w:rsidRPr="001D304E">
        <w:rPr>
          <w:rStyle w:val="Emphasis"/>
        </w:rPr>
        <w:t>Id.</w:t>
      </w:r>
    </w:p>
  </w:footnote>
  <w:footnote w:id="126">
    <w:p w:rsidR="008F209C" w:rsidRPr="00585772" w:rsidRDefault="008F209C" w:rsidP="00CA73CF">
      <w:pPr>
        <w:pStyle w:val="FootnoteText"/>
        <w:tabs>
          <w:tab w:val="left" w:pos="600"/>
        </w:tabs>
      </w:pPr>
      <w:r w:rsidRPr="00585772">
        <w:rPr>
          <w:rStyle w:val="FootnoteReference"/>
        </w:rPr>
        <w:footnoteRef/>
      </w:r>
      <w:r w:rsidRPr="00585772">
        <w:rPr>
          <w:rStyle w:val="FootnoteReference"/>
        </w:rPr>
        <w:t xml:space="preserve"> </w:t>
      </w:r>
      <w:r w:rsidRPr="00585772">
        <w:rPr>
          <w:rStyle w:val="Emphasis"/>
        </w:rPr>
        <w:t>Id.</w:t>
      </w:r>
    </w:p>
  </w:footnote>
  <w:footnote w:id="127">
    <w:p w:rsidR="008F209C" w:rsidRPr="00E71689" w:rsidRDefault="008F209C">
      <w:pPr>
        <w:pStyle w:val="FootnoteText"/>
        <w:rPr>
          <w:highlight w:val="lightGray"/>
        </w:rPr>
      </w:pPr>
      <w:r w:rsidRPr="00585772">
        <w:rPr>
          <w:rStyle w:val="FootnoteReference"/>
        </w:rPr>
        <w:footnoteRef/>
      </w:r>
      <w:r w:rsidRPr="00585772">
        <w:t xml:space="preserve"> </w:t>
      </w:r>
      <w:r w:rsidR="00132EFD">
        <w:t>Direct Testimony of Shawnna G. Jones</w:t>
      </w:r>
      <w:r w:rsidRPr="00585772">
        <w:t>, SWEPCO Ex. 39, Exhibit SGJ-2 at 1–2 (proposing for Street and Highway Lighting a cost-based revenue increase of 307.2%, a “Proposed Base Percent Change” of 61.1%, and a “Proposed Base Percent Change incl. TCRF/DCRF” of only 11.8%).</w:t>
      </w:r>
    </w:p>
  </w:footnote>
  <w:footnote w:id="128">
    <w:p w:rsidR="008F209C" w:rsidRPr="00585772" w:rsidRDefault="008F209C" w:rsidP="00CA73CF">
      <w:pPr>
        <w:pStyle w:val="FootnoteText"/>
        <w:tabs>
          <w:tab w:val="left" w:pos="600"/>
        </w:tabs>
      </w:pPr>
      <w:r w:rsidRPr="00585772">
        <w:rPr>
          <w:rStyle w:val="FootnoteReference"/>
        </w:rPr>
        <w:footnoteRef/>
      </w:r>
      <w:r w:rsidRPr="00585772">
        <w:rPr>
          <w:rStyle w:val="FootnoteReference"/>
        </w:rPr>
        <w:t xml:space="preserve"> </w:t>
      </w:r>
      <w:r w:rsidRPr="00585772">
        <w:t>Abbott Direct, Staff Ex. 1A at 15–16 (recommending a gradualism constraint of 22%, which increases proportionally if the Commission approves revenues greater than Staff’s proposed revenue requirement).</w:t>
      </w:r>
    </w:p>
  </w:footnote>
  <w:footnote w:id="129">
    <w:p w:rsidR="008F209C" w:rsidRPr="00E71689" w:rsidRDefault="008F209C" w:rsidP="00CA73CF">
      <w:pPr>
        <w:pStyle w:val="FootnoteText"/>
        <w:tabs>
          <w:tab w:val="left" w:pos="600"/>
        </w:tabs>
        <w:rPr>
          <w:highlight w:val="lightGray"/>
        </w:rPr>
      </w:pPr>
      <w:r w:rsidRPr="00585772">
        <w:rPr>
          <w:rStyle w:val="FootnoteReference"/>
        </w:rPr>
        <w:footnoteRef/>
      </w:r>
      <w:r w:rsidRPr="00585772">
        <w:rPr>
          <w:rStyle w:val="FootnoteReference"/>
        </w:rPr>
        <w:t xml:space="preserve"> </w:t>
      </w:r>
      <w:r w:rsidRPr="00585772">
        <w:t xml:space="preserve">Staff calculated this result by multiplying 1.5 times 15.8%, which is the PFD’s recommended system average increase net of existing TCRF and DCRF revenues. </w:t>
      </w:r>
      <w:r w:rsidRPr="00585772">
        <w:rPr>
          <w:rStyle w:val="Emphasis"/>
        </w:rPr>
        <w:t xml:space="preserve">See </w:t>
      </w:r>
      <w:r w:rsidRPr="00585772">
        <w:rPr>
          <w:rStyle w:val="Emphasis"/>
          <w:i w:val="0"/>
        </w:rPr>
        <w:t>PFD</w:t>
      </w:r>
      <w:r w:rsidRPr="00585772">
        <w:t xml:space="preserve"> Number-Ru</w:t>
      </w:r>
      <w:r>
        <w:t>nning Schedules, PFD Attachment </w:t>
      </w:r>
      <w:r w:rsidRPr="00585772">
        <w:t xml:space="preserve">C (showing a “Proposed PFD Net Increase” of 15.8% for the overall Texas retail jurisdiction). </w:t>
      </w:r>
    </w:p>
  </w:footnote>
  <w:footnote w:id="130">
    <w:p w:rsidR="008F209C" w:rsidRPr="00A5251C" w:rsidRDefault="008F209C" w:rsidP="00CA73CF">
      <w:pPr>
        <w:pStyle w:val="FootnoteText"/>
        <w:tabs>
          <w:tab w:val="left" w:pos="600"/>
        </w:tabs>
      </w:pPr>
      <w:r w:rsidRPr="00585772">
        <w:rPr>
          <w:rStyle w:val="FootnoteReference"/>
        </w:rPr>
        <w:footnoteRef/>
      </w:r>
      <w:r w:rsidRPr="00585772">
        <w:rPr>
          <w:rStyle w:val="FootnoteReference"/>
        </w:rPr>
        <w:t xml:space="preserve"> </w:t>
      </w:r>
      <w:r w:rsidRPr="00A5251C">
        <w:t>PFD Number</w:t>
      </w:r>
      <w:r>
        <w:t>-</w:t>
      </w:r>
      <w:r w:rsidRPr="00A5251C">
        <w:t>Running Schedules, PFD Attachment C.</w:t>
      </w:r>
    </w:p>
  </w:footnote>
  <w:footnote w:id="131">
    <w:p w:rsidR="008F209C" w:rsidRPr="00E71689" w:rsidRDefault="008F209C" w:rsidP="00CA73CF">
      <w:pPr>
        <w:pStyle w:val="FootnoteText"/>
        <w:tabs>
          <w:tab w:val="left" w:pos="600"/>
        </w:tabs>
        <w:rPr>
          <w:highlight w:val="lightGray"/>
        </w:rPr>
      </w:pPr>
      <w:r w:rsidRPr="00A5251C">
        <w:rPr>
          <w:rStyle w:val="FootnoteReference"/>
        </w:rPr>
        <w:footnoteRef/>
      </w:r>
      <w:r w:rsidRPr="00A5251C">
        <w:rPr>
          <w:rStyle w:val="FootnoteReference"/>
        </w:rPr>
        <w:t xml:space="preserve"> </w:t>
      </w:r>
      <w:r w:rsidRPr="00A5251C">
        <w:t>ETSWD Exceptions at 3 (including a table comparing the proposed revenue increase in this proceeding and Docket Nos. 39896, 40443, and 43695).</w:t>
      </w:r>
    </w:p>
  </w:footnote>
  <w:footnote w:id="132">
    <w:p w:rsidR="008F209C" w:rsidRPr="00A60A6F" w:rsidRDefault="008F209C" w:rsidP="00CA73CF">
      <w:pPr>
        <w:pStyle w:val="FootnoteText"/>
        <w:tabs>
          <w:tab w:val="left" w:pos="600"/>
        </w:tabs>
      </w:pPr>
      <w:r w:rsidRPr="00972565">
        <w:rPr>
          <w:rStyle w:val="FootnoteReference"/>
        </w:rPr>
        <w:footnoteRef/>
      </w:r>
      <w:r w:rsidRPr="00972565">
        <w:rPr>
          <w:rStyle w:val="FootnoteReference"/>
        </w:rPr>
        <w:t xml:space="preserve"> </w:t>
      </w:r>
      <w:r w:rsidRPr="00972565">
        <w:t>In Docket Nos. 39896 and 40443, existing TCRF and DCRF revenues were zero, as TCRF and DCRF baselines were established for the first time the utilities in those proceedings. Docket No. 39896, Supplemental Preliminary Order at 2 (Jan. 19, 2012) (holding that it appropriate to establis</w:t>
      </w:r>
      <w:r>
        <w:t xml:space="preserve">h baselines in that proceeding); Docket No. 40443, </w:t>
      </w:r>
      <w:r w:rsidR="00265E60">
        <w:t>Proposal for Decision at 301–302 (May 20, 2013)</w:t>
      </w:r>
      <w:r w:rsidR="00AD5D1D">
        <w:t xml:space="preserve"> (Docket No. 40443 PFD)</w:t>
      </w:r>
      <w:r w:rsidR="00265E60">
        <w:t xml:space="preserve"> (recommending that factor baselines be created for SWEPCO in that proceeding</w:t>
      </w:r>
      <w:r w:rsidR="001C1E41">
        <w:t>, which will be used in the implementation of a TCRF or DCRF</w:t>
      </w:r>
      <w:r w:rsidR="00265E60">
        <w:t>).</w:t>
      </w:r>
      <w:r w:rsidRPr="00972565">
        <w:t xml:space="preserve"> </w:t>
      </w:r>
      <w:r w:rsidRPr="00277642">
        <w:t xml:space="preserve">In addition, the number-running workpapers attached the Commission’s order in Docket No. 43695 do not show </w:t>
      </w:r>
      <w:r w:rsidR="00265E60">
        <w:t xml:space="preserve">any </w:t>
      </w:r>
      <w:r w:rsidRPr="00277642">
        <w:t>zeroing-out</w:t>
      </w:r>
      <w:r w:rsidR="00265E60">
        <w:t xml:space="preserve"> of</w:t>
      </w:r>
      <w:r w:rsidRPr="00277642">
        <w:t xml:space="preserve"> existing TCRF and DCRF riders as a separate step in determining a class’s revenues, implying </w:t>
      </w:r>
      <w:r w:rsidRPr="00A60A6F">
        <w:t>that step is already part of the calculation of each class’s present revenues. Docket No.</w:t>
      </w:r>
      <w:r w:rsidR="00265E60">
        <w:t> </w:t>
      </w:r>
      <w:r w:rsidRPr="00A60A6F">
        <w:t>43695 Order, Final Order Attachment C.</w:t>
      </w:r>
    </w:p>
  </w:footnote>
  <w:footnote w:id="133">
    <w:p w:rsidR="008F209C" w:rsidRPr="00A60A6F" w:rsidRDefault="008F209C" w:rsidP="00CA73CF">
      <w:pPr>
        <w:pStyle w:val="FootnoteText"/>
        <w:tabs>
          <w:tab w:val="left" w:pos="600"/>
        </w:tabs>
      </w:pPr>
      <w:r w:rsidRPr="00A60A6F">
        <w:rPr>
          <w:rStyle w:val="FootnoteReference"/>
        </w:rPr>
        <w:footnoteRef/>
      </w:r>
      <w:r w:rsidRPr="00A60A6F">
        <w:rPr>
          <w:rStyle w:val="FootnoteReference"/>
        </w:rPr>
        <w:t xml:space="preserve"> </w:t>
      </w:r>
      <w:r w:rsidRPr="00A60A6F">
        <w:t>PFD at 365.</w:t>
      </w:r>
    </w:p>
  </w:footnote>
  <w:footnote w:id="134">
    <w:p w:rsidR="008F209C" w:rsidRPr="00E71689" w:rsidRDefault="008F209C" w:rsidP="00CA73CF">
      <w:pPr>
        <w:pStyle w:val="FootnoteText"/>
        <w:tabs>
          <w:tab w:val="left" w:pos="600"/>
        </w:tabs>
        <w:rPr>
          <w:highlight w:val="lightGray"/>
        </w:rPr>
      </w:pPr>
      <w:r w:rsidRPr="00A60A6F">
        <w:rPr>
          <w:rStyle w:val="FootnoteReference"/>
        </w:rPr>
        <w:footnoteRef/>
      </w:r>
      <w:r w:rsidRPr="00A60A6F">
        <w:rPr>
          <w:rStyle w:val="FootnoteReference"/>
        </w:rPr>
        <w:t xml:space="preserve"> </w:t>
      </w:r>
      <w:r w:rsidRPr="00A60A6F">
        <w:rPr>
          <w:i/>
        </w:rPr>
        <w:t>Id.</w:t>
      </w:r>
      <w:r w:rsidRPr="00A60A6F">
        <w:t xml:space="preserve"> at 360; Abbott Direct, Staff Ex. 1A at 18.</w:t>
      </w:r>
    </w:p>
  </w:footnote>
  <w:footnote w:id="135">
    <w:p w:rsidR="008F209C" w:rsidRPr="00831F71" w:rsidRDefault="008F209C" w:rsidP="00CA73CF">
      <w:pPr>
        <w:pStyle w:val="FootnoteText"/>
        <w:tabs>
          <w:tab w:val="left" w:pos="600"/>
        </w:tabs>
      </w:pPr>
      <w:r w:rsidRPr="00831F71">
        <w:rPr>
          <w:rStyle w:val="FootnoteReference"/>
        </w:rPr>
        <w:footnoteRef/>
      </w:r>
      <w:r w:rsidRPr="00831F71">
        <w:rPr>
          <w:rStyle w:val="FootnoteReference"/>
        </w:rPr>
        <w:t xml:space="preserve"> </w:t>
      </w:r>
      <w:r w:rsidRPr="00831F71">
        <w:rPr>
          <w:rStyle w:val="Emphasis"/>
        </w:rPr>
        <w:t>Id.</w:t>
      </w:r>
    </w:p>
  </w:footnote>
  <w:footnote w:id="136">
    <w:p w:rsidR="008F209C" w:rsidRPr="00831F71" w:rsidRDefault="008F209C" w:rsidP="00CA73CF">
      <w:pPr>
        <w:pStyle w:val="FootnoteText"/>
        <w:tabs>
          <w:tab w:val="left" w:pos="600"/>
        </w:tabs>
      </w:pPr>
      <w:r w:rsidRPr="00831F71">
        <w:rPr>
          <w:rStyle w:val="FootnoteReference"/>
        </w:rPr>
        <w:footnoteRef/>
      </w:r>
      <w:r w:rsidRPr="00831F71">
        <w:rPr>
          <w:rStyle w:val="FootnoteReference"/>
        </w:rPr>
        <w:t xml:space="preserve"> </w:t>
      </w:r>
      <w:r w:rsidRPr="00831F71">
        <w:t>PFD at 365.</w:t>
      </w:r>
    </w:p>
  </w:footnote>
  <w:footnote w:id="137">
    <w:p w:rsidR="008F209C" w:rsidRPr="00831F71" w:rsidRDefault="008F209C" w:rsidP="00CA73CF">
      <w:pPr>
        <w:pStyle w:val="FootnoteText"/>
        <w:tabs>
          <w:tab w:val="left" w:pos="600"/>
        </w:tabs>
      </w:pPr>
      <w:r w:rsidRPr="00831F71">
        <w:rPr>
          <w:rStyle w:val="FootnoteReference"/>
        </w:rPr>
        <w:footnoteRef/>
      </w:r>
      <w:r w:rsidRPr="00831F71">
        <w:rPr>
          <w:rStyle w:val="FootnoteReference"/>
        </w:rPr>
        <w:t xml:space="preserve"> </w:t>
      </w:r>
      <w:r w:rsidRPr="00831F71">
        <w:rPr>
          <w:i/>
        </w:rPr>
        <w:t>Id.</w:t>
      </w:r>
    </w:p>
  </w:footnote>
  <w:footnote w:id="138">
    <w:p w:rsidR="008F209C" w:rsidRPr="00E71689" w:rsidRDefault="008F209C" w:rsidP="00CA73CF">
      <w:pPr>
        <w:pStyle w:val="FootnoteText"/>
        <w:tabs>
          <w:tab w:val="left" w:pos="600"/>
        </w:tabs>
        <w:rPr>
          <w:highlight w:val="lightGray"/>
        </w:rPr>
      </w:pPr>
      <w:r w:rsidRPr="00831F71">
        <w:rPr>
          <w:rStyle w:val="FootnoteReference"/>
        </w:rPr>
        <w:footnoteRef/>
      </w:r>
      <w:r w:rsidRPr="00831F71">
        <w:rPr>
          <w:rStyle w:val="FootnoteReference"/>
        </w:rPr>
        <w:t xml:space="preserve"> </w:t>
      </w:r>
      <w:r w:rsidRPr="00831F71">
        <w:rPr>
          <w:rStyle w:val="Emphasis"/>
        </w:rPr>
        <w:t>Id.</w:t>
      </w:r>
    </w:p>
  </w:footnote>
  <w:footnote w:id="139">
    <w:p w:rsidR="008F209C" w:rsidRPr="006D754A" w:rsidRDefault="008F209C" w:rsidP="00CA73CF">
      <w:pPr>
        <w:pStyle w:val="FootnoteText"/>
        <w:tabs>
          <w:tab w:val="left" w:pos="600"/>
        </w:tabs>
      </w:pPr>
      <w:r w:rsidRPr="006D754A">
        <w:rPr>
          <w:rStyle w:val="FootnoteReference"/>
        </w:rPr>
        <w:footnoteRef/>
      </w:r>
      <w:r w:rsidRPr="006D754A">
        <w:rPr>
          <w:rStyle w:val="FootnoteReference"/>
        </w:rPr>
        <w:t xml:space="preserve"> </w:t>
      </w:r>
      <w:r w:rsidRPr="006D754A">
        <w:t>OPUC Exceptions at 59–61.</w:t>
      </w:r>
    </w:p>
  </w:footnote>
  <w:footnote w:id="140">
    <w:p w:rsidR="008F209C" w:rsidRPr="00E71689" w:rsidRDefault="008F209C" w:rsidP="00CA73CF">
      <w:pPr>
        <w:pStyle w:val="FootnoteText"/>
        <w:tabs>
          <w:tab w:val="left" w:pos="600"/>
        </w:tabs>
        <w:rPr>
          <w:highlight w:val="lightGray"/>
        </w:rPr>
      </w:pPr>
      <w:r w:rsidRPr="006D754A">
        <w:rPr>
          <w:rStyle w:val="FootnoteReference"/>
        </w:rPr>
        <w:footnoteRef/>
      </w:r>
      <w:r w:rsidRPr="006D754A">
        <w:rPr>
          <w:rStyle w:val="FootnoteReference"/>
        </w:rPr>
        <w:t xml:space="preserve"> </w:t>
      </w:r>
      <w:r w:rsidRPr="006D754A">
        <w:rPr>
          <w:i/>
        </w:rPr>
        <w:t>Id.</w:t>
      </w:r>
      <w:r w:rsidRPr="006D754A">
        <w:t xml:space="preserve"> at 60; </w:t>
      </w:r>
      <w:r w:rsidRPr="006D754A">
        <w:rPr>
          <w:rStyle w:val="Emphasis"/>
        </w:rPr>
        <w:t>see also</w:t>
      </w:r>
      <w:r w:rsidRPr="006D754A">
        <w:t xml:space="preserve"> 16 TAC § 25.217(e)(1), (f)(1).</w:t>
      </w:r>
    </w:p>
  </w:footnote>
  <w:footnote w:id="141">
    <w:p w:rsidR="008F209C" w:rsidRPr="00E051BD" w:rsidRDefault="008F209C" w:rsidP="00CA73CF">
      <w:pPr>
        <w:pStyle w:val="FootnoteText"/>
        <w:tabs>
          <w:tab w:val="left" w:pos="600"/>
        </w:tabs>
      </w:pPr>
      <w:r w:rsidRPr="00E051BD">
        <w:rPr>
          <w:rStyle w:val="FootnoteReference"/>
        </w:rPr>
        <w:footnoteRef/>
      </w:r>
      <w:r w:rsidRPr="00E051BD">
        <w:rPr>
          <w:rStyle w:val="FootnoteReference"/>
        </w:rPr>
        <w:t xml:space="preserve"> </w:t>
      </w:r>
      <w:r w:rsidRPr="00E051BD">
        <w:t>OPUC Exceptions at 60–61.</w:t>
      </w:r>
    </w:p>
  </w:footnote>
  <w:footnote w:id="142">
    <w:p w:rsidR="008F209C" w:rsidRPr="00E71689" w:rsidRDefault="008F209C" w:rsidP="00CA73CF">
      <w:pPr>
        <w:pStyle w:val="FootnoteText"/>
        <w:tabs>
          <w:tab w:val="left" w:pos="600"/>
        </w:tabs>
        <w:rPr>
          <w:highlight w:val="lightGray"/>
        </w:rPr>
      </w:pPr>
      <w:r w:rsidRPr="00E051BD">
        <w:rPr>
          <w:rStyle w:val="FootnoteReference"/>
        </w:rPr>
        <w:footnoteRef/>
      </w:r>
      <w:r w:rsidRPr="00E051BD">
        <w:rPr>
          <w:rStyle w:val="FootnoteReference"/>
        </w:rPr>
        <w:t xml:space="preserve"> </w:t>
      </w:r>
      <w:r w:rsidRPr="00E051BD">
        <w:rPr>
          <w:rStyle w:val="Emphasis"/>
        </w:rPr>
        <w:t>Id.</w:t>
      </w:r>
    </w:p>
  </w:footnote>
  <w:footnote w:id="143">
    <w:p w:rsidR="008F209C" w:rsidRPr="00114146" w:rsidRDefault="008F209C" w:rsidP="00CA73CF">
      <w:pPr>
        <w:pStyle w:val="FootnoteText"/>
        <w:tabs>
          <w:tab w:val="left" w:pos="600"/>
        </w:tabs>
      </w:pPr>
      <w:r w:rsidRPr="00114146">
        <w:rPr>
          <w:rStyle w:val="FootnoteReference"/>
        </w:rPr>
        <w:footnoteRef/>
      </w:r>
      <w:r w:rsidRPr="00114146">
        <w:rPr>
          <w:rStyle w:val="FootnoteReference"/>
        </w:rPr>
        <w:t xml:space="preserve"> </w:t>
      </w:r>
      <w:r w:rsidRPr="00114146">
        <w:rPr>
          <w:i/>
        </w:rPr>
        <w:t>Rulemaking Proceeding Relating to Net Metering and Interconnection of Distributed Generation</w:t>
      </w:r>
      <w:r w:rsidRPr="00114146">
        <w:t>, Project No. 34890, Order at 12 (Dec. 22, 2008) (Project No. 34890 Order).</w:t>
      </w:r>
    </w:p>
  </w:footnote>
  <w:footnote w:id="144">
    <w:p w:rsidR="008F209C" w:rsidRPr="00114146" w:rsidRDefault="008F209C" w:rsidP="00CA73CF">
      <w:pPr>
        <w:pStyle w:val="FootnoteText"/>
        <w:tabs>
          <w:tab w:val="left" w:pos="600"/>
        </w:tabs>
      </w:pPr>
      <w:r w:rsidRPr="00114146">
        <w:rPr>
          <w:rStyle w:val="FootnoteReference"/>
        </w:rPr>
        <w:footnoteRef/>
      </w:r>
      <w:r w:rsidRPr="00114146">
        <w:rPr>
          <w:rStyle w:val="FootnoteReference"/>
        </w:rPr>
        <w:t xml:space="preserve"> </w:t>
      </w:r>
      <w:r w:rsidRPr="00114146">
        <w:rPr>
          <w:rStyle w:val="Emphasis"/>
        </w:rPr>
        <w:t>Id.</w:t>
      </w:r>
      <w:r w:rsidRPr="00114146">
        <w:t xml:space="preserve"> at 12.</w:t>
      </w:r>
    </w:p>
  </w:footnote>
  <w:footnote w:id="145">
    <w:p w:rsidR="008F209C" w:rsidRPr="00E051BD" w:rsidRDefault="008F209C" w:rsidP="00CA73CF">
      <w:pPr>
        <w:pStyle w:val="FootnoteText"/>
        <w:tabs>
          <w:tab w:val="left" w:pos="600"/>
        </w:tabs>
      </w:pPr>
      <w:r w:rsidRPr="00114146">
        <w:rPr>
          <w:rStyle w:val="FootnoteReference"/>
        </w:rPr>
        <w:footnoteRef/>
      </w:r>
      <w:r w:rsidRPr="00114146">
        <w:rPr>
          <w:rStyle w:val="FootnoteReference"/>
        </w:rPr>
        <w:t xml:space="preserve"> </w:t>
      </w:r>
      <w:r w:rsidRPr="00E051BD">
        <w:rPr>
          <w:rStyle w:val="Emphasis"/>
        </w:rPr>
        <w:t xml:space="preserve">Id. </w:t>
      </w:r>
      <w:r w:rsidRPr="00E051BD">
        <w:rPr>
          <w:rStyle w:val="Emphasis"/>
          <w:i w:val="0"/>
        </w:rPr>
        <w:t>at 15</w:t>
      </w:r>
    </w:p>
  </w:footnote>
  <w:footnote w:id="146">
    <w:p w:rsidR="008F209C" w:rsidRPr="002D04BF" w:rsidRDefault="008F209C" w:rsidP="00CA73CF">
      <w:pPr>
        <w:pStyle w:val="FootnoteText"/>
        <w:tabs>
          <w:tab w:val="left" w:pos="600"/>
        </w:tabs>
      </w:pPr>
      <w:r w:rsidRPr="00E051BD">
        <w:rPr>
          <w:rStyle w:val="FootnoteReference"/>
        </w:rPr>
        <w:footnoteRef/>
      </w:r>
      <w:r w:rsidRPr="00E051BD">
        <w:rPr>
          <w:rStyle w:val="FootnoteReference"/>
        </w:rPr>
        <w:t xml:space="preserve"> </w:t>
      </w:r>
      <w:r w:rsidRPr="00E051BD">
        <w:t>OPUC Exceptions at 65–66; Supplemental Workpapers to the Direct Testimony of William P. Marcus, OPUC Ex. 8 (including exce</w:t>
      </w:r>
      <w:r w:rsidR="00944FF6">
        <w:t>r</w:t>
      </w:r>
      <w:r w:rsidRPr="00E051BD">
        <w:t xml:space="preserve">pts from </w:t>
      </w:r>
      <w:r w:rsidRPr="00E051BD">
        <w:rPr>
          <w:i/>
        </w:rPr>
        <w:t>Petition of Southwestern Electric Power Company for Approval of Net Metering Tariff</w:t>
      </w:r>
      <w:r w:rsidRPr="00E051BD">
        <w:t xml:space="preserve">, Tariff Control No. 39508 and </w:t>
      </w:r>
      <w:r w:rsidRPr="00E051BD">
        <w:rPr>
          <w:i/>
        </w:rPr>
        <w:t xml:space="preserve">Compliance Tariff for Final Order in Docket No. 40443 (Application of Southwestern </w:t>
      </w:r>
      <w:r w:rsidRPr="002D04BF">
        <w:rPr>
          <w:i/>
        </w:rPr>
        <w:t>Electric Power Company for Authority to Change Rates and Reconcile Fuel Costs</w:t>
      </w:r>
      <w:r w:rsidRPr="002D04BF">
        <w:t>, Tariff Control No.</w:t>
      </w:r>
      <w:r w:rsidR="00944FF6">
        <w:t> </w:t>
      </w:r>
      <w:r w:rsidRPr="002D04BF">
        <w:t>41892)</w:t>
      </w:r>
      <w:r w:rsidR="00E051BD" w:rsidRPr="002D04BF">
        <w:t>)</w:t>
      </w:r>
      <w:r w:rsidRPr="002D04BF">
        <w:t>.</w:t>
      </w:r>
    </w:p>
  </w:footnote>
  <w:footnote w:id="147">
    <w:p w:rsidR="008F209C" w:rsidRPr="002D04BF" w:rsidRDefault="008F209C">
      <w:pPr>
        <w:pStyle w:val="FootnoteText"/>
      </w:pPr>
      <w:r w:rsidRPr="002D04BF">
        <w:rPr>
          <w:rStyle w:val="FootnoteReference"/>
        </w:rPr>
        <w:footnoteRef/>
      </w:r>
      <w:r w:rsidRPr="002D04BF">
        <w:t xml:space="preserve"> </w:t>
      </w:r>
      <w:r w:rsidRPr="002D04BF">
        <w:rPr>
          <w:i/>
        </w:rPr>
        <w:t>See generally</w:t>
      </w:r>
      <w:r w:rsidRPr="002D04BF">
        <w:t xml:space="preserve"> Docket No. 40443</w:t>
      </w:r>
      <w:r w:rsidR="00AD5D1D">
        <w:t xml:space="preserve"> PFD</w:t>
      </w:r>
      <w:r w:rsidRPr="002D04BF">
        <w:t>.</w:t>
      </w:r>
    </w:p>
  </w:footnote>
  <w:footnote w:id="148">
    <w:p w:rsidR="008F209C" w:rsidRPr="00E71689" w:rsidRDefault="008F209C" w:rsidP="00CA73CF">
      <w:pPr>
        <w:pStyle w:val="FootnoteText"/>
        <w:tabs>
          <w:tab w:val="left" w:pos="600"/>
        </w:tabs>
        <w:rPr>
          <w:highlight w:val="lightGray"/>
        </w:rPr>
      </w:pPr>
      <w:r w:rsidRPr="002D04BF">
        <w:rPr>
          <w:rStyle w:val="FootnoteReference"/>
        </w:rPr>
        <w:footnoteRef/>
      </w:r>
      <w:r w:rsidRPr="002D04BF">
        <w:rPr>
          <w:rStyle w:val="FootnoteReference"/>
        </w:rPr>
        <w:t xml:space="preserve"> </w:t>
      </w:r>
      <w:r w:rsidRPr="002D04BF">
        <w:t>OPUC Exceptions at 66–68; Sierra Club and Dr. Lawrence Brough’s Exceptions to the Proposal for Decision at 61–65 (Oct. 16, 2017).</w:t>
      </w:r>
    </w:p>
  </w:footnote>
  <w:footnote w:id="149">
    <w:p w:rsidR="008F209C" w:rsidRPr="002914C5" w:rsidRDefault="008F209C" w:rsidP="00CA73CF">
      <w:pPr>
        <w:pStyle w:val="FootnoteText"/>
        <w:tabs>
          <w:tab w:val="left" w:pos="600"/>
        </w:tabs>
      </w:pPr>
      <w:r w:rsidRPr="002914C5">
        <w:rPr>
          <w:rStyle w:val="FootnoteReference"/>
        </w:rPr>
        <w:footnoteRef/>
      </w:r>
      <w:r w:rsidRPr="002914C5">
        <w:rPr>
          <w:rStyle w:val="FootnoteReference"/>
        </w:rPr>
        <w:t xml:space="preserve"> </w:t>
      </w:r>
      <w:r w:rsidRPr="002914C5">
        <w:t>Rebuttal</w:t>
      </w:r>
      <w:r w:rsidR="00205DC2">
        <w:t xml:space="preserve"> Testimony of William B. Abbott</w:t>
      </w:r>
      <w:r w:rsidRPr="002914C5">
        <w:t>, Staff Ex. 1C at 15–17.</w:t>
      </w:r>
    </w:p>
  </w:footnote>
  <w:footnote w:id="150">
    <w:p w:rsidR="008F209C" w:rsidRPr="00E71689" w:rsidRDefault="008F209C" w:rsidP="00CA73CF">
      <w:pPr>
        <w:pStyle w:val="FootnoteText"/>
        <w:tabs>
          <w:tab w:val="left" w:pos="600"/>
        </w:tabs>
        <w:rPr>
          <w:highlight w:val="lightGray"/>
        </w:rPr>
      </w:pPr>
      <w:r w:rsidRPr="002914C5">
        <w:rPr>
          <w:rStyle w:val="FootnoteReference"/>
        </w:rPr>
        <w:footnoteRef/>
      </w:r>
      <w:r w:rsidRPr="002914C5">
        <w:rPr>
          <w:rStyle w:val="FootnoteReference"/>
        </w:rPr>
        <w:t xml:space="preserve"> </w:t>
      </w:r>
      <w:r w:rsidRPr="002914C5">
        <w:t>Abbott Direct, Staff Ex. 1A at 20.</w:t>
      </w:r>
    </w:p>
  </w:footnote>
  <w:footnote w:id="151">
    <w:p w:rsidR="008F209C" w:rsidRDefault="008F209C" w:rsidP="00CA73CF">
      <w:pPr>
        <w:pStyle w:val="FootnoteText"/>
        <w:tabs>
          <w:tab w:val="left" w:pos="600"/>
        </w:tabs>
      </w:pPr>
      <w:r w:rsidRPr="00F77975">
        <w:rPr>
          <w:rStyle w:val="FootnoteReference"/>
        </w:rPr>
        <w:footnoteRef/>
      </w:r>
      <w:r w:rsidRPr="00F77975">
        <w:rPr>
          <w:rStyle w:val="FootnoteReference"/>
        </w:rPr>
        <w:t xml:space="preserve"> </w:t>
      </w:r>
      <w:r w:rsidRPr="00F77975">
        <w:t>Aaron Rebuttal, SWEPCO Ex. 40 at 18 (“SWEPCO is agreeable to a specified time period to continue the application of grandfathering.”).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3277" w:rsidRDefault="00BF32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3277" w:rsidRDefault="00BF32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3277" w:rsidRDefault="00BF32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FB189008"/>
    <w:lvl w:ilvl="0">
      <w:start w:val="1"/>
      <w:numFmt w:val="decimal"/>
      <w:pStyle w:val="FOFNumbered"/>
      <w:lvlText w:val="%1."/>
      <w:lvlJc w:val="left"/>
      <w:pPr>
        <w:tabs>
          <w:tab w:val="num" w:pos="720"/>
        </w:tabs>
        <w:ind w:left="720" w:hanging="720"/>
      </w:pPr>
      <w:rPr>
        <w:rFonts w:hint="default"/>
        <w:b w:val="0"/>
        <w:i w:val="0"/>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3D4367"/>
    <w:multiLevelType w:val="hybridMultilevel"/>
    <w:tmpl w:val="02469A3A"/>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121903DC"/>
    <w:multiLevelType w:val="hybridMultilevel"/>
    <w:tmpl w:val="C63EE2B8"/>
    <w:lvl w:ilvl="0" w:tplc="B33A5FAC">
      <w:start w:val="266"/>
      <w:numFmt w:val="decimal"/>
      <w:lvlText w:val="%1."/>
      <w:lvlJc w:val="left"/>
      <w:pPr>
        <w:ind w:left="1500" w:hanging="4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41A4F85"/>
    <w:multiLevelType w:val="hybridMultilevel"/>
    <w:tmpl w:val="D272FAB0"/>
    <w:lvl w:ilvl="0" w:tplc="DDC44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F369D"/>
    <w:multiLevelType w:val="multilevel"/>
    <w:tmpl w:val="45B6E85C"/>
    <w:lvl w:ilvl="0">
      <w:start w:val="1"/>
      <w:numFmt w:val="upperLetter"/>
      <w:lvlText w:val="%1."/>
      <w:lvlJc w:val="left"/>
      <w:pPr>
        <w:ind w:left="1080" w:hanging="360"/>
      </w:pPr>
      <w:rPr>
        <w:rFonts w:hint="default"/>
      </w:rPr>
    </w:lvl>
    <w:lvl w:ilvl="1">
      <w:start w:val="1"/>
      <w:numFmt w:val="upperLetter"/>
      <w:lvlText w:val="%2."/>
      <w:lvlJc w:val="left"/>
      <w:pPr>
        <w:ind w:left="1800" w:hanging="360"/>
      </w:pPr>
      <w:rPr>
        <w:rFonts w:hint="default"/>
      </w:rPr>
    </w:lvl>
    <w:lvl w:ilvl="2">
      <w:start w:val="1"/>
      <w:numFmt w:val="decimal"/>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6" w15:restartNumberingAfterBreak="0">
    <w:nsid w:val="17BB24F0"/>
    <w:multiLevelType w:val="hybridMultilevel"/>
    <w:tmpl w:val="B260B0EA"/>
    <w:lvl w:ilvl="0" w:tplc="CF50D3E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8645B5E"/>
    <w:multiLevelType w:val="hybridMultilevel"/>
    <w:tmpl w:val="42A8B600"/>
    <w:lvl w:ilvl="0" w:tplc="72628302">
      <w:start w:val="1"/>
      <w:numFmt w:val="upperRoman"/>
      <w:lvlText w:val="%1."/>
      <w:lvlJc w:val="left"/>
      <w:pPr>
        <w:ind w:left="1080" w:hanging="720"/>
      </w:pPr>
      <w:rPr>
        <w:rFonts w:hint="default"/>
      </w:rPr>
    </w:lvl>
    <w:lvl w:ilvl="1" w:tplc="91981652">
      <w:start w:val="1"/>
      <w:numFmt w:val="decimal"/>
      <w:lvlText w:val="%2."/>
      <w:lvlJc w:val="left"/>
      <w:pPr>
        <w:ind w:left="1530" w:hanging="360"/>
      </w:pPr>
      <w:rPr>
        <w:rFonts w:ascii="Times New Roman" w:eastAsiaTheme="minorHAns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B372A4"/>
    <w:multiLevelType w:val="hybridMultilevel"/>
    <w:tmpl w:val="7CC63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769226E"/>
    <w:multiLevelType w:val="hybridMultilevel"/>
    <w:tmpl w:val="3E0485E4"/>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A22098"/>
    <w:multiLevelType w:val="hybridMultilevel"/>
    <w:tmpl w:val="3D66DC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D5F200C"/>
    <w:multiLevelType w:val="hybridMultilevel"/>
    <w:tmpl w:val="33A48B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93F42ED"/>
    <w:multiLevelType w:val="hybridMultilevel"/>
    <w:tmpl w:val="27763D40"/>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AA97D9A"/>
    <w:multiLevelType w:val="hybridMultilevel"/>
    <w:tmpl w:val="715E7D5A"/>
    <w:lvl w:ilvl="0" w:tplc="351E3772">
      <w:start w:val="7"/>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4326F3"/>
    <w:multiLevelType w:val="hybridMultilevel"/>
    <w:tmpl w:val="38C409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5505F5"/>
    <w:multiLevelType w:val="hybridMultilevel"/>
    <w:tmpl w:val="EF38D32E"/>
    <w:lvl w:ilvl="0" w:tplc="64020F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4603ADF"/>
    <w:multiLevelType w:val="multilevel"/>
    <w:tmpl w:val="AE28B79E"/>
    <w:lvl w:ilvl="0">
      <w:start w:val="3"/>
      <w:numFmt w:val="upperLetter"/>
      <w:lvlText w:val="%1."/>
      <w:lvlJc w:val="left"/>
      <w:pPr>
        <w:ind w:left="1080" w:hanging="360"/>
      </w:pPr>
      <w:rPr>
        <w:rFonts w:hint="default"/>
      </w:rPr>
    </w:lvl>
    <w:lvl w:ilvl="1">
      <w:start w:val="1"/>
      <w:numFmt w:val="upperLetter"/>
      <w:lvlText w:val="%2."/>
      <w:lvlJc w:val="left"/>
      <w:pPr>
        <w:ind w:left="1800" w:hanging="360"/>
      </w:pPr>
      <w:rPr>
        <w:rFonts w:hint="default"/>
      </w:rPr>
    </w:lvl>
    <w:lvl w:ilvl="2">
      <w:start w:val="1"/>
      <w:numFmt w:val="decimal"/>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1" w15:restartNumberingAfterBreak="0">
    <w:nsid w:val="5B0A4C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E3F696A"/>
    <w:multiLevelType w:val="hybridMultilevel"/>
    <w:tmpl w:val="FE6E5524"/>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ACB1BBA"/>
    <w:multiLevelType w:val="hybridMultilevel"/>
    <w:tmpl w:val="A8A4359E"/>
    <w:lvl w:ilvl="0" w:tplc="04090015">
      <w:start w:val="1"/>
      <w:numFmt w:val="upperLetter"/>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2E2E88"/>
    <w:multiLevelType w:val="hybridMultilevel"/>
    <w:tmpl w:val="96606D2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8"/>
  </w:num>
  <w:num w:numId="3">
    <w:abstractNumId w:val="12"/>
  </w:num>
  <w:num w:numId="4">
    <w:abstractNumId w:val="7"/>
  </w:num>
  <w:num w:numId="5">
    <w:abstractNumId w:val="25"/>
  </w:num>
  <w:num w:numId="6">
    <w:abstractNumId w:val="24"/>
  </w:num>
  <w:num w:numId="7">
    <w:abstractNumId w:val="14"/>
  </w:num>
  <w:num w:numId="8">
    <w:abstractNumId w:val="15"/>
  </w:num>
  <w:num w:numId="9">
    <w:abstractNumId w:val="23"/>
  </w:num>
  <w:num w:numId="10">
    <w:abstractNumId w:val="21"/>
  </w:num>
  <w:num w:numId="11">
    <w:abstractNumId w:val="8"/>
  </w:num>
  <w:num w:numId="12">
    <w:abstractNumId w:val="18"/>
  </w:num>
  <w:num w:numId="13">
    <w:abstractNumId w:val="22"/>
  </w:num>
  <w:num w:numId="14">
    <w:abstractNumId w:val="16"/>
  </w:num>
  <w:num w:numId="15">
    <w:abstractNumId w:val="5"/>
  </w:num>
  <w:num w:numId="16">
    <w:abstractNumId w:val="2"/>
  </w:num>
  <w:num w:numId="17">
    <w:abstractNumId w:val="26"/>
  </w:num>
  <w:num w:numId="18">
    <w:abstractNumId w:val="17"/>
  </w:num>
  <w:num w:numId="19">
    <w:abstractNumId w:val="20"/>
  </w:num>
  <w:num w:numId="20">
    <w:abstractNumId w:val="10"/>
  </w:num>
  <w:num w:numId="21">
    <w:abstractNumId w:val="13"/>
  </w:num>
  <w:num w:numId="22">
    <w:abstractNumId w:val="4"/>
  </w:num>
  <w:num w:numId="23">
    <w:abstractNumId w:val="0"/>
  </w:num>
  <w:num w:numId="24">
    <w:abstractNumId w:val="27"/>
  </w:num>
  <w:num w:numId="25">
    <w:abstractNumId w:val="11"/>
  </w:num>
  <w:num w:numId="26">
    <w:abstractNumId w:val="9"/>
  </w:num>
  <w:num w:numId="27">
    <w:abstractNumId w:val="6"/>
  </w:num>
  <w:num w:numId="28">
    <w:abstractNumId w:val="3"/>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activeWritingStyle w:appName="MSWord" w:lang="en-US" w:vendorID="64" w:dllVersion="0"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251"/>
    <w:rsid w:val="0000107F"/>
    <w:rsid w:val="00002517"/>
    <w:rsid w:val="0000292C"/>
    <w:rsid w:val="00003860"/>
    <w:rsid w:val="000038EE"/>
    <w:rsid w:val="00003FE4"/>
    <w:rsid w:val="00006869"/>
    <w:rsid w:val="00007870"/>
    <w:rsid w:val="000125F2"/>
    <w:rsid w:val="000134BB"/>
    <w:rsid w:val="0001368C"/>
    <w:rsid w:val="0001439B"/>
    <w:rsid w:val="00015160"/>
    <w:rsid w:val="00015CA2"/>
    <w:rsid w:val="000177AE"/>
    <w:rsid w:val="000233F8"/>
    <w:rsid w:val="00023808"/>
    <w:rsid w:val="00024FE1"/>
    <w:rsid w:val="00030247"/>
    <w:rsid w:val="00031293"/>
    <w:rsid w:val="000357D5"/>
    <w:rsid w:val="00037B21"/>
    <w:rsid w:val="000406B9"/>
    <w:rsid w:val="00045613"/>
    <w:rsid w:val="00047323"/>
    <w:rsid w:val="00047756"/>
    <w:rsid w:val="00050EC3"/>
    <w:rsid w:val="0005223C"/>
    <w:rsid w:val="00052360"/>
    <w:rsid w:val="000528DE"/>
    <w:rsid w:val="000545FB"/>
    <w:rsid w:val="00055A51"/>
    <w:rsid w:val="00060352"/>
    <w:rsid w:val="00060391"/>
    <w:rsid w:val="00060BC3"/>
    <w:rsid w:val="0006160A"/>
    <w:rsid w:val="0006210C"/>
    <w:rsid w:val="000621BB"/>
    <w:rsid w:val="000644A6"/>
    <w:rsid w:val="000709F6"/>
    <w:rsid w:val="00070BDD"/>
    <w:rsid w:val="00071BFA"/>
    <w:rsid w:val="00072FE5"/>
    <w:rsid w:val="000764C6"/>
    <w:rsid w:val="000767DB"/>
    <w:rsid w:val="00083618"/>
    <w:rsid w:val="000849F3"/>
    <w:rsid w:val="000857EC"/>
    <w:rsid w:val="00085A3C"/>
    <w:rsid w:val="0008607A"/>
    <w:rsid w:val="000916FA"/>
    <w:rsid w:val="00092603"/>
    <w:rsid w:val="00092B02"/>
    <w:rsid w:val="0009361B"/>
    <w:rsid w:val="00094204"/>
    <w:rsid w:val="0009426E"/>
    <w:rsid w:val="00094549"/>
    <w:rsid w:val="00094D6D"/>
    <w:rsid w:val="000A0D5D"/>
    <w:rsid w:val="000A1BF6"/>
    <w:rsid w:val="000A1C49"/>
    <w:rsid w:val="000A2540"/>
    <w:rsid w:val="000A28D9"/>
    <w:rsid w:val="000A47A1"/>
    <w:rsid w:val="000A5936"/>
    <w:rsid w:val="000A6448"/>
    <w:rsid w:val="000A7B1F"/>
    <w:rsid w:val="000B0F75"/>
    <w:rsid w:val="000B10C9"/>
    <w:rsid w:val="000B1500"/>
    <w:rsid w:val="000B163B"/>
    <w:rsid w:val="000B1812"/>
    <w:rsid w:val="000B2D95"/>
    <w:rsid w:val="000B30B6"/>
    <w:rsid w:val="000B3CC7"/>
    <w:rsid w:val="000B3DBC"/>
    <w:rsid w:val="000B4DFB"/>
    <w:rsid w:val="000B4E9F"/>
    <w:rsid w:val="000B6413"/>
    <w:rsid w:val="000C1A61"/>
    <w:rsid w:val="000C2632"/>
    <w:rsid w:val="000C2E57"/>
    <w:rsid w:val="000C3B1E"/>
    <w:rsid w:val="000C3CA8"/>
    <w:rsid w:val="000C4031"/>
    <w:rsid w:val="000C449E"/>
    <w:rsid w:val="000C5402"/>
    <w:rsid w:val="000C5A7C"/>
    <w:rsid w:val="000C6AF9"/>
    <w:rsid w:val="000D0DD5"/>
    <w:rsid w:val="000D1A6F"/>
    <w:rsid w:val="000D2232"/>
    <w:rsid w:val="000D3CDD"/>
    <w:rsid w:val="000D5EAA"/>
    <w:rsid w:val="000D5F63"/>
    <w:rsid w:val="000D642B"/>
    <w:rsid w:val="000D7BD5"/>
    <w:rsid w:val="000E26FE"/>
    <w:rsid w:val="000E6961"/>
    <w:rsid w:val="000F1AC0"/>
    <w:rsid w:val="000F1B5D"/>
    <w:rsid w:val="000F1F40"/>
    <w:rsid w:val="000F3312"/>
    <w:rsid w:val="000F3C0D"/>
    <w:rsid w:val="000F443A"/>
    <w:rsid w:val="000F4B0D"/>
    <w:rsid w:val="000F5F9A"/>
    <w:rsid w:val="000F6746"/>
    <w:rsid w:val="000F6BEB"/>
    <w:rsid w:val="000F7F9C"/>
    <w:rsid w:val="00101E9A"/>
    <w:rsid w:val="0010273D"/>
    <w:rsid w:val="00104BD4"/>
    <w:rsid w:val="00106FB3"/>
    <w:rsid w:val="00112FA0"/>
    <w:rsid w:val="00113058"/>
    <w:rsid w:val="00114146"/>
    <w:rsid w:val="001171A2"/>
    <w:rsid w:val="00117E49"/>
    <w:rsid w:val="0012059C"/>
    <w:rsid w:val="0012094B"/>
    <w:rsid w:val="00122C66"/>
    <w:rsid w:val="00122E15"/>
    <w:rsid w:val="0012575C"/>
    <w:rsid w:val="00126742"/>
    <w:rsid w:val="00126E14"/>
    <w:rsid w:val="00127224"/>
    <w:rsid w:val="00132937"/>
    <w:rsid w:val="00132C5E"/>
    <w:rsid w:val="00132C88"/>
    <w:rsid w:val="00132EFD"/>
    <w:rsid w:val="001347B7"/>
    <w:rsid w:val="001370E3"/>
    <w:rsid w:val="001375E7"/>
    <w:rsid w:val="00137988"/>
    <w:rsid w:val="00140C88"/>
    <w:rsid w:val="00140FCF"/>
    <w:rsid w:val="001413B3"/>
    <w:rsid w:val="00141511"/>
    <w:rsid w:val="001419BF"/>
    <w:rsid w:val="00143BAC"/>
    <w:rsid w:val="00143DBB"/>
    <w:rsid w:val="00147053"/>
    <w:rsid w:val="001473B3"/>
    <w:rsid w:val="0014768C"/>
    <w:rsid w:val="001502B2"/>
    <w:rsid w:val="00150603"/>
    <w:rsid w:val="00150A21"/>
    <w:rsid w:val="00150A60"/>
    <w:rsid w:val="00151409"/>
    <w:rsid w:val="00151676"/>
    <w:rsid w:val="00152825"/>
    <w:rsid w:val="00152E43"/>
    <w:rsid w:val="00155131"/>
    <w:rsid w:val="00156056"/>
    <w:rsid w:val="00156F3B"/>
    <w:rsid w:val="0015730A"/>
    <w:rsid w:val="001606F0"/>
    <w:rsid w:val="00160B90"/>
    <w:rsid w:val="00162210"/>
    <w:rsid w:val="001632DD"/>
    <w:rsid w:val="0016344D"/>
    <w:rsid w:val="0016430D"/>
    <w:rsid w:val="00164553"/>
    <w:rsid w:val="00164F51"/>
    <w:rsid w:val="001663D2"/>
    <w:rsid w:val="00166EF5"/>
    <w:rsid w:val="0016707F"/>
    <w:rsid w:val="0016763F"/>
    <w:rsid w:val="00167865"/>
    <w:rsid w:val="00167B9A"/>
    <w:rsid w:val="00167DFA"/>
    <w:rsid w:val="00170C23"/>
    <w:rsid w:val="00170CA0"/>
    <w:rsid w:val="001711C0"/>
    <w:rsid w:val="0017204A"/>
    <w:rsid w:val="00172793"/>
    <w:rsid w:val="00174EE8"/>
    <w:rsid w:val="00175105"/>
    <w:rsid w:val="00176D68"/>
    <w:rsid w:val="00177FBD"/>
    <w:rsid w:val="00183616"/>
    <w:rsid w:val="001863BD"/>
    <w:rsid w:val="0019063B"/>
    <w:rsid w:val="00190767"/>
    <w:rsid w:val="00191184"/>
    <w:rsid w:val="0019200A"/>
    <w:rsid w:val="00192F0D"/>
    <w:rsid w:val="001937B3"/>
    <w:rsid w:val="001947B0"/>
    <w:rsid w:val="00197531"/>
    <w:rsid w:val="001A2D16"/>
    <w:rsid w:val="001A39E2"/>
    <w:rsid w:val="001A6517"/>
    <w:rsid w:val="001A6F8A"/>
    <w:rsid w:val="001A7A0D"/>
    <w:rsid w:val="001A7DBE"/>
    <w:rsid w:val="001B0D9A"/>
    <w:rsid w:val="001B21C1"/>
    <w:rsid w:val="001B2FA6"/>
    <w:rsid w:val="001B3069"/>
    <w:rsid w:val="001B6A83"/>
    <w:rsid w:val="001B6D3F"/>
    <w:rsid w:val="001B7893"/>
    <w:rsid w:val="001C0EBF"/>
    <w:rsid w:val="001C1A1A"/>
    <w:rsid w:val="001C1E41"/>
    <w:rsid w:val="001C28A6"/>
    <w:rsid w:val="001C2BF8"/>
    <w:rsid w:val="001C38BF"/>
    <w:rsid w:val="001C3BDA"/>
    <w:rsid w:val="001C43F0"/>
    <w:rsid w:val="001C6118"/>
    <w:rsid w:val="001D0A1B"/>
    <w:rsid w:val="001D0EFA"/>
    <w:rsid w:val="001D1DFF"/>
    <w:rsid w:val="001D304E"/>
    <w:rsid w:val="001D3D78"/>
    <w:rsid w:val="001D43DC"/>
    <w:rsid w:val="001D5E90"/>
    <w:rsid w:val="001D6373"/>
    <w:rsid w:val="001E0547"/>
    <w:rsid w:val="001E1E75"/>
    <w:rsid w:val="001E21FE"/>
    <w:rsid w:val="001E297A"/>
    <w:rsid w:val="001E55D1"/>
    <w:rsid w:val="001F3890"/>
    <w:rsid w:val="001F48B9"/>
    <w:rsid w:val="001F4DB4"/>
    <w:rsid w:val="001F4E88"/>
    <w:rsid w:val="001F5FDD"/>
    <w:rsid w:val="00200A08"/>
    <w:rsid w:val="00200D8C"/>
    <w:rsid w:val="002012FC"/>
    <w:rsid w:val="00201516"/>
    <w:rsid w:val="0020243D"/>
    <w:rsid w:val="0020292A"/>
    <w:rsid w:val="0020368A"/>
    <w:rsid w:val="0020473E"/>
    <w:rsid w:val="00205DC2"/>
    <w:rsid w:val="002067CF"/>
    <w:rsid w:val="00206A4C"/>
    <w:rsid w:val="002079CF"/>
    <w:rsid w:val="002113D3"/>
    <w:rsid w:val="00212394"/>
    <w:rsid w:val="002146D8"/>
    <w:rsid w:val="002153B7"/>
    <w:rsid w:val="0021567A"/>
    <w:rsid w:val="002174C8"/>
    <w:rsid w:val="00217977"/>
    <w:rsid w:val="0022173D"/>
    <w:rsid w:val="002241EF"/>
    <w:rsid w:val="00226C69"/>
    <w:rsid w:val="00227044"/>
    <w:rsid w:val="002273AB"/>
    <w:rsid w:val="00230417"/>
    <w:rsid w:val="0023091D"/>
    <w:rsid w:val="00230C6A"/>
    <w:rsid w:val="002329B6"/>
    <w:rsid w:val="002401FC"/>
    <w:rsid w:val="00242D5F"/>
    <w:rsid w:val="00242F83"/>
    <w:rsid w:val="0024377E"/>
    <w:rsid w:val="00245454"/>
    <w:rsid w:val="00245928"/>
    <w:rsid w:val="002466FF"/>
    <w:rsid w:val="0024681E"/>
    <w:rsid w:val="00247274"/>
    <w:rsid w:val="00247DB8"/>
    <w:rsid w:val="00247DC3"/>
    <w:rsid w:val="00247F89"/>
    <w:rsid w:val="00250566"/>
    <w:rsid w:val="00250B3D"/>
    <w:rsid w:val="00251C5E"/>
    <w:rsid w:val="002529F8"/>
    <w:rsid w:val="002533AF"/>
    <w:rsid w:val="00253FE6"/>
    <w:rsid w:val="00255B49"/>
    <w:rsid w:val="00255CF1"/>
    <w:rsid w:val="00256B08"/>
    <w:rsid w:val="00256D2A"/>
    <w:rsid w:val="00256DD9"/>
    <w:rsid w:val="0025700B"/>
    <w:rsid w:val="002577B6"/>
    <w:rsid w:val="00257E71"/>
    <w:rsid w:val="00260326"/>
    <w:rsid w:val="0026120E"/>
    <w:rsid w:val="00261AFE"/>
    <w:rsid w:val="00264F58"/>
    <w:rsid w:val="00265E60"/>
    <w:rsid w:val="00270C7B"/>
    <w:rsid w:val="00271524"/>
    <w:rsid w:val="00272208"/>
    <w:rsid w:val="00273D63"/>
    <w:rsid w:val="002764DB"/>
    <w:rsid w:val="00277642"/>
    <w:rsid w:val="0028022A"/>
    <w:rsid w:val="0028026F"/>
    <w:rsid w:val="00280FF4"/>
    <w:rsid w:val="0028109F"/>
    <w:rsid w:val="00281238"/>
    <w:rsid w:val="002812E2"/>
    <w:rsid w:val="00282013"/>
    <w:rsid w:val="00282752"/>
    <w:rsid w:val="00282897"/>
    <w:rsid w:val="00282CD1"/>
    <w:rsid w:val="00283F39"/>
    <w:rsid w:val="002848AF"/>
    <w:rsid w:val="00285A49"/>
    <w:rsid w:val="002867F9"/>
    <w:rsid w:val="00286C21"/>
    <w:rsid w:val="00286D26"/>
    <w:rsid w:val="0029005F"/>
    <w:rsid w:val="002914C5"/>
    <w:rsid w:val="002958F6"/>
    <w:rsid w:val="00295BF6"/>
    <w:rsid w:val="002961F2"/>
    <w:rsid w:val="00296BA8"/>
    <w:rsid w:val="00297041"/>
    <w:rsid w:val="002A1898"/>
    <w:rsid w:val="002A3408"/>
    <w:rsid w:val="002A35A9"/>
    <w:rsid w:val="002A4485"/>
    <w:rsid w:val="002A4C69"/>
    <w:rsid w:val="002A7473"/>
    <w:rsid w:val="002B09C9"/>
    <w:rsid w:val="002B0FE6"/>
    <w:rsid w:val="002B1041"/>
    <w:rsid w:val="002B19C6"/>
    <w:rsid w:val="002B2629"/>
    <w:rsid w:val="002B40CE"/>
    <w:rsid w:val="002B7930"/>
    <w:rsid w:val="002C0034"/>
    <w:rsid w:val="002C182C"/>
    <w:rsid w:val="002C263C"/>
    <w:rsid w:val="002C292C"/>
    <w:rsid w:val="002C404D"/>
    <w:rsid w:val="002C4C90"/>
    <w:rsid w:val="002C4C99"/>
    <w:rsid w:val="002C5D86"/>
    <w:rsid w:val="002C72AA"/>
    <w:rsid w:val="002C7589"/>
    <w:rsid w:val="002D04BF"/>
    <w:rsid w:val="002D170C"/>
    <w:rsid w:val="002D3A76"/>
    <w:rsid w:val="002D3BBD"/>
    <w:rsid w:val="002D481E"/>
    <w:rsid w:val="002D543A"/>
    <w:rsid w:val="002D6D3C"/>
    <w:rsid w:val="002D721C"/>
    <w:rsid w:val="002D74AD"/>
    <w:rsid w:val="002E283D"/>
    <w:rsid w:val="002E45FE"/>
    <w:rsid w:val="002E4A4E"/>
    <w:rsid w:val="002E612A"/>
    <w:rsid w:val="002E6494"/>
    <w:rsid w:val="002E749D"/>
    <w:rsid w:val="002F0729"/>
    <w:rsid w:val="002F08B6"/>
    <w:rsid w:val="002F3001"/>
    <w:rsid w:val="002F3EC1"/>
    <w:rsid w:val="002F479D"/>
    <w:rsid w:val="002F5886"/>
    <w:rsid w:val="002F70B0"/>
    <w:rsid w:val="00300D11"/>
    <w:rsid w:val="00301C45"/>
    <w:rsid w:val="003021A2"/>
    <w:rsid w:val="00303198"/>
    <w:rsid w:val="003033F1"/>
    <w:rsid w:val="00303A45"/>
    <w:rsid w:val="00305298"/>
    <w:rsid w:val="00305F3D"/>
    <w:rsid w:val="00307C85"/>
    <w:rsid w:val="00310F9B"/>
    <w:rsid w:val="00312714"/>
    <w:rsid w:val="003127B3"/>
    <w:rsid w:val="003144C4"/>
    <w:rsid w:val="00317658"/>
    <w:rsid w:val="003223AC"/>
    <w:rsid w:val="003246A8"/>
    <w:rsid w:val="003253FB"/>
    <w:rsid w:val="003256DC"/>
    <w:rsid w:val="0032586F"/>
    <w:rsid w:val="00332458"/>
    <w:rsid w:val="003346A4"/>
    <w:rsid w:val="00335D3E"/>
    <w:rsid w:val="00336ACF"/>
    <w:rsid w:val="00336CA4"/>
    <w:rsid w:val="0033742B"/>
    <w:rsid w:val="0034159A"/>
    <w:rsid w:val="00341854"/>
    <w:rsid w:val="00343E76"/>
    <w:rsid w:val="00344A62"/>
    <w:rsid w:val="003450E7"/>
    <w:rsid w:val="00345109"/>
    <w:rsid w:val="003455B0"/>
    <w:rsid w:val="00347D84"/>
    <w:rsid w:val="00350090"/>
    <w:rsid w:val="00350137"/>
    <w:rsid w:val="00355251"/>
    <w:rsid w:val="00355FB8"/>
    <w:rsid w:val="003566F1"/>
    <w:rsid w:val="00357C92"/>
    <w:rsid w:val="003602F6"/>
    <w:rsid w:val="003609B8"/>
    <w:rsid w:val="00360A0C"/>
    <w:rsid w:val="0036618C"/>
    <w:rsid w:val="00367F38"/>
    <w:rsid w:val="00371D6E"/>
    <w:rsid w:val="003723DA"/>
    <w:rsid w:val="00373605"/>
    <w:rsid w:val="00374091"/>
    <w:rsid w:val="003744AE"/>
    <w:rsid w:val="00375F64"/>
    <w:rsid w:val="00384555"/>
    <w:rsid w:val="00384670"/>
    <w:rsid w:val="00384BB8"/>
    <w:rsid w:val="00384E05"/>
    <w:rsid w:val="00384E4D"/>
    <w:rsid w:val="003851C1"/>
    <w:rsid w:val="0038566A"/>
    <w:rsid w:val="003858C2"/>
    <w:rsid w:val="0038660B"/>
    <w:rsid w:val="0038776A"/>
    <w:rsid w:val="00390B3F"/>
    <w:rsid w:val="00391B7E"/>
    <w:rsid w:val="00391CAF"/>
    <w:rsid w:val="00392A14"/>
    <w:rsid w:val="0039363F"/>
    <w:rsid w:val="00393AC6"/>
    <w:rsid w:val="00394B65"/>
    <w:rsid w:val="0039591B"/>
    <w:rsid w:val="00397341"/>
    <w:rsid w:val="003A1B53"/>
    <w:rsid w:val="003A2A9C"/>
    <w:rsid w:val="003A2B88"/>
    <w:rsid w:val="003A338C"/>
    <w:rsid w:val="003A4BA3"/>
    <w:rsid w:val="003A53E1"/>
    <w:rsid w:val="003A567C"/>
    <w:rsid w:val="003A6B03"/>
    <w:rsid w:val="003B1AA7"/>
    <w:rsid w:val="003B3429"/>
    <w:rsid w:val="003B39B3"/>
    <w:rsid w:val="003B610F"/>
    <w:rsid w:val="003B6280"/>
    <w:rsid w:val="003B705B"/>
    <w:rsid w:val="003B7656"/>
    <w:rsid w:val="003B7675"/>
    <w:rsid w:val="003B7D57"/>
    <w:rsid w:val="003C0C4B"/>
    <w:rsid w:val="003C0E04"/>
    <w:rsid w:val="003C0FE3"/>
    <w:rsid w:val="003C1732"/>
    <w:rsid w:val="003C1F9A"/>
    <w:rsid w:val="003C2C71"/>
    <w:rsid w:val="003C3888"/>
    <w:rsid w:val="003C47C7"/>
    <w:rsid w:val="003C6393"/>
    <w:rsid w:val="003D0455"/>
    <w:rsid w:val="003D09E7"/>
    <w:rsid w:val="003D152A"/>
    <w:rsid w:val="003D1D6C"/>
    <w:rsid w:val="003D2DA5"/>
    <w:rsid w:val="003D2EAC"/>
    <w:rsid w:val="003D7FEA"/>
    <w:rsid w:val="003E0B60"/>
    <w:rsid w:val="003E0B8D"/>
    <w:rsid w:val="003E12A5"/>
    <w:rsid w:val="003E1AA5"/>
    <w:rsid w:val="003E2E5D"/>
    <w:rsid w:val="003E369A"/>
    <w:rsid w:val="003E4498"/>
    <w:rsid w:val="003E5C95"/>
    <w:rsid w:val="003E5D21"/>
    <w:rsid w:val="003E5EBD"/>
    <w:rsid w:val="003E7A59"/>
    <w:rsid w:val="003E7C7C"/>
    <w:rsid w:val="003E7DF1"/>
    <w:rsid w:val="003F1614"/>
    <w:rsid w:val="003F2F01"/>
    <w:rsid w:val="003F2FAE"/>
    <w:rsid w:val="003F3953"/>
    <w:rsid w:val="003F3F7C"/>
    <w:rsid w:val="003F72A0"/>
    <w:rsid w:val="0040021A"/>
    <w:rsid w:val="004027AF"/>
    <w:rsid w:val="00403B88"/>
    <w:rsid w:val="00404493"/>
    <w:rsid w:val="00404631"/>
    <w:rsid w:val="00406295"/>
    <w:rsid w:val="0040768C"/>
    <w:rsid w:val="004078D6"/>
    <w:rsid w:val="0041248F"/>
    <w:rsid w:val="00412B8C"/>
    <w:rsid w:val="00414795"/>
    <w:rsid w:val="00421AE9"/>
    <w:rsid w:val="00422226"/>
    <w:rsid w:val="00422A05"/>
    <w:rsid w:val="0042310B"/>
    <w:rsid w:val="00423664"/>
    <w:rsid w:val="004259C2"/>
    <w:rsid w:val="00431115"/>
    <w:rsid w:val="00432AD6"/>
    <w:rsid w:val="00432E69"/>
    <w:rsid w:val="00434213"/>
    <w:rsid w:val="00434247"/>
    <w:rsid w:val="00434D1C"/>
    <w:rsid w:val="00435C56"/>
    <w:rsid w:val="00437F13"/>
    <w:rsid w:val="004415D4"/>
    <w:rsid w:val="00443817"/>
    <w:rsid w:val="004445C3"/>
    <w:rsid w:val="00444FEA"/>
    <w:rsid w:val="00445470"/>
    <w:rsid w:val="004465F9"/>
    <w:rsid w:val="00446C33"/>
    <w:rsid w:val="004478B0"/>
    <w:rsid w:val="00450C29"/>
    <w:rsid w:val="00451ADC"/>
    <w:rsid w:val="00451D27"/>
    <w:rsid w:val="004527BB"/>
    <w:rsid w:val="004540A3"/>
    <w:rsid w:val="004540CD"/>
    <w:rsid w:val="00454E3B"/>
    <w:rsid w:val="004556A0"/>
    <w:rsid w:val="00455C3E"/>
    <w:rsid w:val="00457884"/>
    <w:rsid w:val="00462DDA"/>
    <w:rsid w:val="00463251"/>
    <w:rsid w:val="00463AB8"/>
    <w:rsid w:val="00464A13"/>
    <w:rsid w:val="00465911"/>
    <w:rsid w:val="004666DC"/>
    <w:rsid w:val="004668FF"/>
    <w:rsid w:val="00466FD6"/>
    <w:rsid w:val="00471AF9"/>
    <w:rsid w:val="00472755"/>
    <w:rsid w:val="00473325"/>
    <w:rsid w:val="0047536E"/>
    <w:rsid w:val="00482149"/>
    <w:rsid w:val="00483239"/>
    <w:rsid w:val="00483D52"/>
    <w:rsid w:val="00483D7E"/>
    <w:rsid w:val="004840B7"/>
    <w:rsid w:val="00485AB4"/>
    <w:rsid w:val="00485D02"/>
    <w:rsid w:val="00485D9D"/>
    <w:rsid w:val="00487349"/>
    <w:rsid w:val="0048790E"/>
    <w:rsid w:val="00487F62"/>
    <w:rsid w:val="00490341"/>
    <w:rsid w:val="00490A9A"/>
    <w:rsid w:val="004914F7"/>
    <w:rsid w:val="004919A8"/>
    <w:rsid w:val="00492C92"/>
    <w:rsid w:val="004933EC"/>
    <w:rsid w:val="004950B6"/>
    <w:rsid w:val="004964B1"/>
    <w:rsid w:val="004970E3"/>
    <w:rsid w:val="00497AC2"/>
    <w:rsid w:val="004A20E1"/>
    <w:rsid w:val="004A25AE"/>
    <w:rsid w:val="004A2FB3"/>
    <w:rsid w:val="004A420A"/>
    <w:rsid w:val="004A4C04"/>
    <w:rsid w:val="004A6B6C"/>
    <w:rsid w:val="004B0517"/>
    <w:rsid w:val="004B08C5"/>
    <w:rsid w:val="004B39B6"/>
    <w:rsid w:val="004B3C2C"/>
    <w:rsid w:val="004B49F0"/>
    <w:rsid w:val="004B4A42"/>
    <w:rsid w:val="004B7AF3"/>
    <w:rsid w:val="004C0C74"/>
    <w:rsid w:val="004C1A17"/>
    <w:rsid w:val="004C4866"/>
    <w:rsid w:val="004C51B7"/>
    <w:rsid w:val="004C677D"/>
    <w:rsid w:val="004C681B"/>
    <w:rsid w:val="004C6970"/>
    <w:rsid w:val="004D20DD"/>
    <w:rsid w:val="004D2988"/>
    <w:rsid w:val="004D2DBD"/>
    <w:rsid w:val="004D5E0E"/>
    <w:rsid w:val="004E0D07"/>
    <w:rsid w:val="004E170B"/>
    <w:rsid w:val="004E3972"/>
    <w:rsid w:val="004E4207"/>
    <w:rsid w:val="004E5152"/>
    <w:rsid w:val="004E5363"/>
    <w:rsid w:val="004E563C"/>
    <w:rsid w:val="004E7496"/>
    <w:rsid w:val="004F2DF4"/>
    <w:rsid w:val="004F3113"/>
    <w:rsid w:val="004F3C6C"/>
    <w:rsid w:val="004F489C"/>
    <w:rsid w:val="004F6CF1"/>
    <w:rsid w:val="004F7F06"/>
    <w:rsid w:val="005024B6"/>
    <w:rsid w:val="005024E1"/>
    <w:rsid w:val="00504378"/>
    <w:rsid w:val="00506F29"/>
    <w:rsid w:val="00510104"/>
    <w:rsid w:val="00510C56"/>
    <w:rsid w:val="005115A6"/>
    <w:rsid w:val="005155A5"/>
    <w:rsid w:val="00517C97"/>
    <w:rsid w:val="005211B4"/>
    <w:rsid w:val="00522032"/>
    <w:rsid w:val="005242A7"/>
    <w:rsid w:val="005249D5"/>
    <w:rsid w:val="0052528D"/>
    <w:rsid w:val="00533C99"/>
    <w:rsid w:val="005346FF"/>
    <w:rsid w:val="00535665"/>
    <w:rsid w:val="00535DF6"/>
    <w:rsid w:val="0054012D"/>
    <w:rsid w:val="00540362"/>
    <w:rsid w:val="005405A9"/>
    <w:rsid w:val="00540B1A"/>
    <w:rsid w:val="005449D3"/>
    <w:rsid w:val="00545616"/>
    <w:rsid w:val="0054721F"/>
    <w:rsid w:val="005528A6"/>
    <w:rsid w:val="00553BD2"/>
    <w:rsid w:val="00553E90"/>
    <w:rsid w:val="00555018"/>
    <w:rsid w:val="00555E35"/>
    <w:rsid w:val="00556337"/>
    <w:rsid w:val="005617AE"/>
    <w:rsid w:val="00564CC1"/>
    <w:rsid w:val="00566D9D"/>
    <w:rsid w:val="00570336"/>
    <w:rsid w:val="00570FE5"/>
    <w:rsid w:val="005745B6"/>
    <w:rsid w:val="0057620A"/>
    <w:rsid w:val="00581DD0"/>
    <w:rsid w:val="0058283E"/>
    <w:rsid w:val="0058520A"/>
    <w:rsid w:val="0058558F"/>
    <w:rsid w:val="00585772"/>
    <w:rsid w:val="0058590F"/>
    <w:rsid w:val="00587157"/>
    <w:rsid w:val="00587716"/>
    <w:rsid w:val="0059197A"/>
    <w:rsid w:val="00595B99"/>
    <w:rsid w:val="00595F98"/>
    <w:rsid w:val="00595FDD"/>
    <w:rsid w:val="0059639F"/>
    <w:rsid w:val="00596A01"/>
    <w:rsid w:val="00596BDA"/>
    <w:rsid w:val="00596DB2"/>
    <w:rsid w:val="00597076"/>
    <w:rsid w:val="005A00EA"/>
    <w:rsid w:val="005A31F1"/>
    <w:rsid w:val="005A3298"/>
    <w:rsid w:val="005A33E2"/>
    <w:rsid w:val="005A5B27"/>
    <w:rsid w:val="005A652A"/>
    <w:rsid w:val="005A6C24"/>
    <w:rsid w:val="005B120C"/>
    <w:rsid w:val="005B1DF4"/>
    <w:rsid w:val="005B2509"/>
    <w:rsid w:val="005B28B3"/>
    <w:rsid w:val="005B2DD2"/>
    <w:rsid w:val="005B342F"/>
    <w:rsid w:val="005B3C0D"/>
    <w:rsid w:val="005B49FD"/>
    <w:rsid w:val="005B4E97"/>
    <w:rsid w:val="005B5799"/>
    <w:rsid w:val="005B6597"/>
    <w:rsid w:val="005B76D0"/>
    <w:rsid w:val="005B7B7B"/>
    <w:rsid w:val="005C3611"/>
    <w:rsid w:val="005C43FF"/>
    <w:rsid w:val="005C5115"/>
    <w:rsid w:val="005D032A"/>
    <w:rsid w:val="005D07B2"/>
    <w:rsid w:val="005D0E47"/>
    <w:rsid w:val="005D2554"/>
    <w:rsid w:val="005D3307"/>
    <w:rsid w:val="005D510F"/>
    <w:rsid w:val="005D71E9"/>
    <w:rsid w:val="005D730B"/>
    <w:rsid w:val="005E2C48"/>
    <w:rsid w:val="005E5A1A"/>
    <w:rsid w:val="005E5DE6"/>
    <w:rsid w:val="005E63DD"/>
    <w:rsid w:val="005E77DC"/>
    <w:rsid w:val="005E7D73"/>
    <w:rsid w:val="005F08F6"/>
    <w:rsid w:val="005F09CB"/>
    <w:rsid w:val="005F1497"/>
    <w:rsid w:val="005F3965"/>
    <w:rsid w:val="005F4F7A"/>
    <w:rsid w:val="005F6801"/>
    <w:rsid w:val="005F7C11"/>
    <w:rsid w:val="006003D1"/>
    <w:rsid w:val="006017D7"/>
    <w:rsid w:val="0060351C"/>
    <w:rsid w:val="0060359F"/>
    <w:rsid w:val="00605C48"/>
    <w:rsid w:val="00607611"/>
    <w:rsid w:val="006078F5"/>
    <w:rsid w:val="006102D3"/>
    <w:rsid w:val="006103FD"/>
    <w:rsid w:val="006105A0"/>
    <w:rsid w:val="006105E5"/>
    <w:rsid w:val="00610FF8"/>
    <w:rsid w:val="00612E0D"/>
    <w:rsid w:val="00612EE5"/>
    <w:rsid w:val="00613492"/>
    <w:rsid w:val="0061356E"/>
    <w:rsid w:val="00613FDA"/>
    <w:rsid w:val="00615565"/>
    <w:rsid w:val="006159E0"/>
    <w:rsid w:val="0061677C"/>
    <w:rsid w:val="006179D5"/>
    <w:rsid w:val="00621AF5"/>
    <w:rsid w:val="00623F9E"/>
    <w:rsid w:val="0062749E"/>
    <w:rsid w:val="00630BBF"/>
    <w:rsid w:val="00633065"/>
    <w:rsid w:val="0063354B"/>
    <w:rsid w:val="006373A9"/>
    <w:rsid w:val="00640F14"/>
    <w:rsid w:val="00641217"/>
    <w:rsid w:val="0064182E"/>
    <w:rsid w:val="006418AD"/>
    <w:rsid w:val="006419B6"/>
    <w:rsid w:val="00641C46"/>
    <w:rsid w:val="00641C47"/>
    <w:rsid w:val="0064292A"/>
    <w:rsid w:val="00644ED3"/>
    <w:rsid w:val="006470FE"/>
    <w:rsid w:val="00650A71"/>
    <w:rsid w:val="00651B6B"/>
    <w:rsid w:val="006532D2"/>
    <w:rsid w:val="006570BC"/>
    <w:rsid w:val="006576FD"/>
    <w:rsid w:val="00662506"/>
    <w:rsid w:val="0066299F"/>
    <w:rsid w:val="00662E84"/>
    <w:rsid w:val="00662F0A"/>
    <w:rsid w:val="006639AD"/>
    <w:rsid w:val="006651F5"/>
    <w:rsid w:val="0066776E"/>
    <w:rsid w:val="0066794B"/>
    <w:rsid w:val="00670605"/>
    <w:rsid w:val="00671766"/>
    <w:rsid w:val="006720F1"/>
    <w:rsid w:val="00672B9B"/>
    <w:rsid w:val="0067371C"/>
    <w:rsid w:val="00674CF8"/>
    <w:rsid w:val="006759FD"/>
    <w:rsid w:val="00677012"/>
    <w:rsid w:val="0067771D"/>
    <w:rsid w:val="006802F2"/>
    <w:rsid w:val="00681A18"/>
    <w:rsid w:val="00683255"/>
    <w:rsid w:val="00685746"/>
    <w:rsid w:val="006863EE"/>
    <w:rsid w:val="00686AEC"/>
    <w:rsid w:val="0068771C"/>
    <w:rsid w:val="00687AD5"/>
    <w:rsid w:val="00687DD6"/>
    <w:rsid w:val="006922CF"/>
    <w:rsid w:val="00692AD3"/>
    <w:rsid w:val="006932F8"/>
    <w:rsid w:val="006954A8"/>
    <w:rsid w:val="006964B5"/>
    <w:rsid w:val="006A105D"/>
    <w:rsid w:val="006A208E"/>
    <w:rsid w:val="006A2511"/>
    <w:rsid w:val="006A411F"/>
    <w:rsid w:val="006A4961"/>
    <w:rsid w:val="006A6EC4"/>
    <w:rsid w:val="006B1CB9"/>
    <w:rsid w:val="006C0A03"/>
    <w:rsid w:val="006C2E8A"/>
    <w:rsid w:val="006C376D"/>
    <w:rsid w:val="006C559A"/>
    <w:rsid w:val="006C5B92"/>
    <w:rsid w:val="006C5C30"/>
    <w:rsid w:val="006C6101"/>
    <w:rsid w:val="006D03DD"/>
    <w:rsid w:val="006D04E3"/>
    <w:rsid w:val="006D13DF"/>
    <w:rsid w:val="006D3B00"/>
    <w:rsid w:val="006D44D5"/>
    <w:rsid w:val="006D463D"/>
    <w:rsid w:val="006D485D"/>
    <w:rsid w:val="006D6522"/>
    <w:rsid w:val="006D7418"/>
    <w:rsid w:val="006D754A"/>
    <w:rsid w:val="006D7DB2"/>
    <w:rsid w:val="006E19BA"/>
    <w:rsid w:val="006E3070"/>
    <w:rsid w:val="006E6B4A"/>
    <w:rsid w:val="006E6D50"/>
    <w:rsid w:val="006E72CB"/>
    <w:rsid w:val="006F3A4D"/>
    <w:rsid w:val="006F3BE8"/>
    <w:rsid w:val="006F4766"/>
    <w:rsid w:val="006F5259"/>
    <w:rsid w:val="00701F55"/>
    <w:rsid w:val="007028F4"/>
    <w:rsid w:val="00702D48"/>
    <w:rsid w:val="007035E0"/>
    <w:rsid w:val="00704CD5"/>
    <w:rsid w:val="00706A95"/>
    <w:rsid w:val="00706DED"/>
    <w:rsid w:val="00706EA0"/>
    <w:rsid w:val="00706F67"/>
    <w:rsid w:val="007103AD"/>
    <w:rsid w:val="007116DA"/>
    <w:rsid w:val="0071333B"/>
    <w:rsid w:val="0071409A"/>
    <w:rsid w:val="007143AF"/>
    <w:rsid w:val="007154AA"/>
    <w:rsid w:val="00715A3B"/>
    <w:rsid w:val="0071787D"/>
    <w:rsid w:val="00717AD1"/>
    <w:rsid w:val="00721484"/>
    <w:rsid w:val="00722704"/>
    <w:rsid w:val="007240A9"/>
    <w:rsid w:val="007241F4"/>
    <w:rsid w:val="0072608E"/>
    <w:rsid w:val="007271CB"/>
    <w:rsid w:val="007300AD"/>
    <w:rsid w:val="007303C7"/>
    <w:rsid w:val="007303D4"/>
    <w:rsid w:val="007305EF"/>
    <w:rsid w:val="00731BBA"/>
    <w:rsid w:val="00732F8F"/>
    <w:rsid w:val="00733EDC"/>
    <w:rsid w:val="007340BC"/>
    <w:rsid w:val="00734222"/>
    <w:rsid w:val="00735644"/>
    <w:rsid w:val="00735E31"/>
    <w:rsid w:val="00735FE0"/>
    <w:rsid w:val="00736E45"/>
    <w:rsid w:val="00737024"/>
    <w:rsid w:val="00737328"/>
    <w:rsid w:val="007410BE"/>
    <w:rsid w:val="00741904"/>
    <w:rsid w:val="00742686"/>
    <w:rsid w:val="00743CE0"/>
    <w:rsid w:val="00743F06"/>
    <w:rsid w:val="0074437D"/>
    <w:rsid w:val="00745A19"/>
    <w:rsid w:val="00745D18"/>
    <w:rsid w:val="00745F27"/>
    <w:rsid w:val="007467E4"/>
    <w:rsid w:val="00746BE5"/>
    <w:rsid w:val="00750FF8"/>
    <w:rsid w:val="0075215A"/>
    <w:rsid w:val="00752A91"/>
    <w:rsid w:val="00753558"/>
    <w:rsid w:val="0075420D"/>
    <w:rsid w:val="00756B01"/>
    <w:rsid w:val="0076015C"/>
    <w:rsid w:val="007602FF"/>
    <w:rsid w:val="00760D8B"/>
    <w:rsid w:val="00760E8F"/>
    <w:rsid w:val="007611F4"/>
    <w:rsid w:val="00761896"/>
    <w:rsid w:val="007634C5"/>
    <w:rsid w:val="007636DB"/>
    <w:rsid w:val="00764DDF"/>
    <w:rsid w:val="00765020"/>
    <w:rsid w:val="007657CE"/>
    <w:rsid w:val="00766674"/>
    <w:rsid w:val="00770433"/>
    <w:rsid w:val="007717F6"/>
    <w:rsid w:val="00771FB0"/>
    <w:rsid w:val="007726C7"/>
    <w:rsid w:val="00774E6C"/>
    <w:rsid w:val="007755D8"/>
    <w:rsid w:val="00776B4E"/>
    <w:rsid w:val="007802E1"/>
    <w:rsid w:val="007805C1"/>
    <w:rsid w:val="007805C5"/>
    <w:rsid w:val="00783595"/>
    <w:rsid w:val="00783B8E"/>
    <w:rsid w:val="007843A1"/>
    <w:rsid w:val="00785B05"/>
    <w:rsid w:val="00786E6A"/>
    <w:rsid w:val="0078730A"/>
    <w:rsid w:val="00790F5A"/>
    <w:rsid w:val="007910D0"/>
    <w:rsid w:val="007913CE"/>
    <w:rsid w:val="00791658"/>
    <w:rsid w:val="007917EF"/>
    <w:rsid w:val="007938FD"/>
    <w:rsid w:val="00794146"/>
    <w:rsid w:val="00796CED"/>
    <w:rsid w:val="007972AD"/>
    <w:rsid w:val="007A38A3"/>
    <w:rsid w:val="007A4BF1"/>
    <w:rsid w:val="007A588C"/>
    <w:rsid w:val="007A5F84"/>
    <w:rsid w:val="007A6432"/>
    <w:rsid w:val="007B0613"/>
    <w:rsid w:val="007B1473"/>
    <w:rsid w:val="007B24A3"/>
    <w:rsid w:val="007B4A00"/>
    <w:rsid w:val="007B5AE9"/>
    <w:rsid w:val="007B5E35"/>
    <w:rsid w:val="007B7FB8"/>
    <w:rsid w:val="007C074A"/>
    <w:rsid w:val="007C0BE0"/>
    <w:rsid w:val="007C26C6"/>
    <w:rsid w:val="007C2846"/>
    <w:rsid w:val="007C6253"/>
    <w:rsid w:val="007C6863"/>
    <w:rsid w:val="007C7DCC"/>
    <w:rsid w:val="007D1F73"/>
    <w:rsid w:val="007D21B3"/>
    <w:rsid w:val="007D2BF7"/>
    <w:rsid w:val="007D4A2B"/>
    <w:rsid w:val="007D4F9B"/>
    <w:rsid w:val="007D4FDA"/>
    <w:rsid w:val="007D59AE"/>
    <w:rsid w:val="007D6179"/>
    <w:rsid w:val="007D64F2"/>
    <w:rsid w:val="007D71E3"/>
    <w:rsid w:val="007D7D40"/>
    <w:rsid w:val="007E1755"/>
    <w:rsid w:val="007E400E"/>
    <w:rsid w:val="007E4FD6"/>
    <w:rsid w:val="007E5E8A"/>
    <w:rsid w:val="007F05DA"/>
    <w:rsid w:val="007F19FD"/>
    <w:rsid w:val="007F4AEC"/>
    <w:rsid w:val="007F587C"/>
    <w:rsid w:val="007F7062"/>
    <w:rsid w:val="0080064A"/>
    <w:rsid w:val="008016FB"/>
    <w:rsid w:val="0080341C"/>
    <w:rsid w:val="00803A88"/>
    <w:rsid w:val="00803CBB"/>
    <w:rsid w:val="008055B9"/>
    <w:rsid w:val="00805FB2"/>
    <w:rsid w:val="00810718"/>
    <w:rsid w:val="0081091C"/>
    <w:rsid w:val="00811B48"/>
    <w:rsid w:val="00811BC7"/>
    <w:rsid w:val="00813959"/>
    <w:rsid w:val="008146C8"/>
    <w:rsid w:val="008201FD"/>
    <w:rsid w:val="008233B6"/>
    <w:rsid w:val="00827539"/>
    <w:rsid w:val="00827E46"/>
    <w:rsid w:val="00830C19"/>
    <w:rsid w:val="00831A4E"/>
    <w:rsid w:val="00831F71"/>
    <w:rsid w:val="0083376A"/>
    <w:rsid w:val="00834FB8"/>
    <w:rsid w:val="008356AD"/>
    <w:rsid w:val="0084004B"/>
    <w:rsid w:val="00842E8D"/>
    <w:rsid w:val="00843ECD"/>
    <w:rsid w:val="0084426C"/>
    <w:rsid w:val="00845656"/>
    <w:rsid w:val="008459B4"/>
    <w:rsid w:val="00845F99"/>
    <w:rsid w:val="0085024C"/>
    <w:rsid w:val="00854779"/>
    <w:rsid w:val="00854EC6"/>
    <w:rsid w:val="00855A5A"/>
    <w:rsid w:val="008570BB"/>
    <w:rsid w:val="00860E99"/>
    <w:rsid w:val="00861D7C"/>
    <w:rsid w:val="00863660"/>
    <w:rsid w:val="00863ECB"/>
    <w:rsid w:val="0086468D"/>
    <w:rsid w:val="00873122"/>
    <w:rsid w:val="008744F3"/>
    <w:rsid w:val="00874BE6"/>
    <w:rsid w:val="00874C02"/>
    <w:rsid w:val="008759CA"/>
    <w:rsid w:val="00875D3A"/>
    <w:rsid w:val="00877275"/>
    <w:rsid w:val="00877663"/>
    <w:rsid w:val="0088061E"/>
    <w:rsid w:val="008814ED"/>
    <w:rsid w:val="00881E29"/>
    <w:rsid w:val="008845EB"/>
    <w:rsid w:val="00884B89"/>
    <w:rsid w:val="00885CD1"/>
    <w:rsid w:val="00886233"/>
    <w:rsid w:val="008879F3"/>
    <w:rsid w:val="008915EB"/>
    <w:rsid w:val="008947F4"/>
    <w:rsid w:val="00894A68"/>
    <w:rsid w:val="00895003"/>
    <w:rsid w:val="008A0CD3"/>
    <w:rsid w:val="008A0DE2"/>
    <w:rsid w:val="008A367F"/>
    <w:rsid w:val="008A65B6"/>
    <w:rsid w:val="008A69E6"/>
    <w:rsid w:val="008A7301"/>
    <w:rsid w:val="008B0CAF"/>
    <w:rsid w:val="008B4DA4"/>
    <w:rsid w:val="008B5086"/>
    <w:rsid w:val="008B5B81"/>
    <w:rsid w:val="008C02BF"/>
    <w:rsid w:val="008C1C2C"/>
    <w:rsid w:val="008C383E"/>
    <w:rsid w:val="008C3BFF"/>
    <w:rsid w:val="008C3DDA"/>
    <w:rsid w:val="008C4886"/>
    <w:rsid w:val="008C5549"/>
    <w:rsid w:val="008C7F09"/>
    <w:rsid w:val="008D0224"/>
    <w:rsid w:val="008D1E4E"/>
    <w:rsid w:val="008D354C"/>
    <w:rsid w:val="008D3B53"/>
    <w:rsid w:val="008D4CAE"/>
    <w:rsid w:val="008D4CBD"/>
    <w:rsid w:val="008D585A"/>
    <w:rsid w:val="008D72BD"/>
    <w:rsid w:val="008E4957"/>
    <w:rsid w:val="008E4C8E"/>
    <w:rsid w:val="008E5C1C"/>
    <w:rsid w:val="008E5F5E"/>
    <w:rsid w:val="008E63D4"/>
    <w:rsid w:val="008E684E"/>
    <w:rsid w:val="008E6DA6"/>
    <w:rsid w:val="008E7029"/>
    <w:rsid w:val="008F1B72"/>
    <w:rsid w:val="008F209C"/>
    <w:rsid w:val="008F24F4"/>
    <w:rsid w:val="008F36DB"/>
    <w:rsid w:val="00901BF0"/>
    <w:rsid w:val="00902B8C"/>
    <w:rsid w:val="00903852"/>
    <w:rsid w:val="0090477F"/>
    <w:rsid w:val="00906663"/>
    <w:rsid w:val="00906C49"/>
    <w:rsid w:val="00911CA1"/>
    <w:rsid w:val="00911D01"/>
    <w:rsid w:val="00911F32"/>
    <w:rsid w:val="00913AF0"/>
    <w:rsid w:val="0091445E"/>
    <w:rsid w:val="009144D1"/>
    <w:rsid w:val="00915796"/>
    <w:rsid w:val="00915B45"/>
    <w:rsid w:val="00920D04"/>
    <w:rsid w:val="00920EA0"/>
    <w:rsid w:val="009211CE"/>
    <w:rsid w:val="00922DAE"/>
    <w:rsid w:val="00924466"/>
    <w:rsid w:val="00925917"/>
    <w:rsid w:val="00925E8C"/>
    <w:rsid w:val="00930B8D"/>
    <w:rsid w:val="009310C1"/>
    <w:rsid w:val="00932E23"/>
    <w:rsid w:val="0093385B"/>
    <w:rsid w:val="00933F91"/>
    <w:rsid w:val="00934E3D"/>
    <w:rsid w:val="00936367"/>
    <w:rsid w:val="00936A79"/>
    <w:rsid w:val="00936C5C"/>
    <w:rsid w:val="00936E4F"/>
    <w:rsid w:val="0094019D"/>
    <w:rsid w:val="00940316"/>
    <w:rsid w:val="009410CB"/>
    <w:rsid w:val="00941A4A"/>
    <w:rsid w:val="00942AF6"/>
    <w:rsid w:val="00944CF8"/>
    <w:rsid w:val="00944FF6"/>
    <w:rsid w:val="009501F4"/>
    <w:rsid w:val="00950C4F"/>
    <w:rsid w:val="0095154E"/>
    <w:rsid w:val="00953708"/>
    <w:rsid w:val="00953B7B"/>
    <w:rsid w:val="00953C1F"/>
    <w:rsid w:val="00953DF2"/>
    <w:rsid w:val="0095459B"/>
    <w:rsid w:val="009549F4"/>
    <w:rsid w:val="0095647D"/>
    <w:rsid w:val="00957366"/>
    <w:rsid w:val="00960F8F"/>
    <w:rsid w:val="00962137"/>
    <w:rsid w:val="00962874"/>
    <w:rsid w:val="009637C8"/>
    <w:rsid w:val="009639A1"/>
    <w:rsid w:val="00963DAA"/>
    <w:rsid w:val="0096432E"/>
    <w:rsid w:val="00964842"/>
    <w:rsid w:val="00965618"/>
    <w:rsid w:val="00965EFB"/>
    <w:rsid w:val="00971254"/>
    <w:rsid w:val="009713A1"/>
    <w:rsid w:val="009714F1"/>
    <w:rsid w:val="009723E8"/>
    <w:rsid w:val="00972565"/>
    <w:rsid w:val="0097284E"/>
    <w:rsid w:val="0097345E"/>
    <w:rsid w:val="00973549"/>
    <w:rsid w:val="009741CA"/>
    <w:rsid w:val="00975123"/>
    <w:rsid w:val="00975230"/>
    <w:rsid w:val="00975A43"/>
    <w:rsid w:val="00975D8A"/>
    <w:rsid w:val="009806F3"/>
    <w:rsid w:val="00980801"/>
    <w:rsid w:val="00980EE1"/>
    <w:rsid w:val="009812DE"/>
    <w:rsid w:val="00983E07"/>
    <w:rsid w:val="00983E30"/>
    <w:rsid w:val="009840B3"/>
    <w:rsid w:val="00991007"/>
    <w:rsid w:val="00991476"/>
    <w:rsid w:val="00991739"/>
    <w:rsid w:val="00992AB6"/>
    <w:rsid w:val="00992D21"/>
    <w:rsid w:val="00995672"/>
    <w:rsid w:val="009962D5"/>
    <w:rsid w:val="00996951"/>
    <w:rsid w:val="009975E0"/>
    <w:rsid w:val="009A0168"/>
    <w:rsid w:val="009A09B1"/>
    <w:rsid w:val="009A46D4"/>
    <w:rsid w:val="009A498F"/>
    <w:rsid w:val="009A6563"/>
    <w:rsid w:val="009A6AA5"/>
    <w:rsid w:val="009A79A3"/>
    <w:rsid w:val="009A7E13"/>
    <w:rsid w:val="009B0C68"/>
    <w:rsid w:val="009B0D86"/>
    <w:rsid w:val="009B117B"/>
    <w:rsid w:val="009B1B2D"/>
    <w:rsid w:val="009B2BE7"/>
    <w:rsid w:val="009B303C"/>
    <w:rsid w:val="009B3451"/>
    <w:rsid w:val="009B3799"/>
    <w:rsid w:val="009B4782"/>
    <w:rsid w:val="009B61E3"/>
    <w:rsid w:val="009C080E"/>
    <w:rsid w:val="009C0D44"/>
    <w:rsid w:val="009C1544"/>
    <w:rsid w:val="009C1D89"/>
    <w:rsid w:val="009C1E8B"/>
    <w:rsid w:val="009C31EB"/>
    <w:rsid w:val="009C46A9"/>
    <w:rsid w:val="009C61CA"/>
    <w:rsid w:val="009C690A"/>
    <w:rsid w:val="009D58C2"/>
    <w:rsid w:val="009D643C"/>
    <w:rsid w:val="009D715F"/>
    <w:rsid w:val="009D7F2E"/>
    <w:rsid w:val="009E0100"/>
    <w:rsid w:val="009E324E"/>
    <w:rsid w:val="009E3A90"/>
    <w:rsid w:val="009E4865"/>
    <w:rsid w:val="009E53B8"/>
    <w:rsid w:val="009E68FE"/>
    <w:rsid w:val="009E72B3"/>
    <w:rsid w:val="009F05AB"/>
    <w:rsid w:val="009F2167"/>
    <w:rsid w:val="009F3C45"/>
    <w:rsid w:val="009F4CE6"/>
    <w:rsid w:val="009F6C74"/>
    <w:rsid w:val="00A0094C"/>
    <w:rsid w:val="00A034C6"/>
    <w:rsid w:val="00A06FD1"/>
    <w:rsid w:val="00A07C27"/>
    <w:rsid w:val="00A1058B"/>
    <w:rsid w:val="00A1461F"/>
    <w:rsid w:val="00A14B8E"/>
    <w:rsid w:val="00A1685B"/>
    <w:rsid w:val="00A20412"/>
    <w:rsid w:val="00A20D13"/>
    <w:rsid w:val="00A21159"/>
    <w:rsid w:val="00A21AB1"/>
    <w:rsid w:val="00A21E4B"/>
    <w:rsid w:val="00A22003"/>
    <w:rsid w:val="00A236A0"/>
    <w:rsid w:val="00A241E8"/>
    <w:rsid w:val="00A25538"/>
    <w:rsid w:val="00A265AF"/>
    <w:rsid w:val="00A26D1E"/>
    <w:rsid w:val="00A27CF7"/>
    <w:rsid w:val="00A304FC"/>
    <w:rsid w:val="00A307DF"/>
    <w:rsid w:val="00A30819"/>
    <w:rsid w:val="00A309AF"/>
    <w:rsid w:val="00A32F96"/>
    <w:rsid w:val="00A33441"/>
    <w:rsid w:val="00A34181"/>
    <w:rsid w:val="00A357F1"/>
    <w:rsid w:val="00A363EE"/>
    <w:rsid w:val="00A36B22"/>
    <w:rsid w:val="00A36F8C"/>
    <w:rsid w:val="00A36FC0"/>
    <w:rsid w:val="00A37740"/>
    <w:rsid w:val="00A407F3"/>
    <w:rsid w:val="00A42528"/>
    <w:rsid w:val="00A42644"/>
    <w:rsid w:val="00A439D5"/>
    <w:rsid w:val="00A45B3B"/>
    <w:rsid w:val="00A462EA"/>
    <w:rsid w:val="00A47B48"/>
    <w:rsid w:val="00A47C2D"/>
    <w:rsid w:val="00A50E5B"/>
    <w:rsid w:val="00A5251C"/>
    <w:rsid w:val="00A5298F"/>
    <w:rsid w:val="00A52EF9"/>
    <w:rsid w:val="00A52F5B"/>
    <w:rsid w:val="00A5374E"/>
    <w:rsid w:val="00A5411B"/>
    <w:rsid w:val="00A54905"/>
    <w:rsid w:val="00A57C4C"/>
    <w:rsid w:val="00A603FA"/>
    <w:rsid w:val="00A60765"/>
    <w:rsid w:val="00A60A6F"/>
    <w:rsid w:val="00A6200D"/>
    <w:rsid w:val="00A650D0"/>
    <w:rsid w:val="00A65584"/>
    <w:rsid w:val="00A660E5"/>
    <w:rsid w:val="00A66467"/>
    <w:rsid w:val="00A702F0"/>
    <w:rsid w:val="00A70979"/>
    <w:rsid w:val="00A70D0E"/>
    <w:rsid w:val="00A70EB2"/>
    <w:rsid w:val="00A714E3"/>
    <w:rsid w:val="00A723E4"/>
    <w:rsid w:val="00A72D8C"/>
    <w:rsid w:val="00A736A3"/>
    <w:rsid w:val="00A747AD"/>
    <w:rsid w:val="00A74D7F"/>
    <w:rsid w:val="00A75CE5"/>
    <w:rsid w:val="00A76286"/>
    <w:rsid w:val="00A76E69"/>
    <w:rsid w:val="00A804E3"/>
    <w:rsid w:val="00A81E46"/>
    <w:rsid w:val="00A82BFB"/>
    <w:rsid w:val="00A851D8"/>
    <w:rsid w:val="00A86181"/>
    <w:rsid w:val="00A86F20"/>
    <w:rsid w:val="00A90A35"/>
    <w:rsid w:val="00A93B37"/>
    <w:rsid w:val="00A96F2C"/>
    <w:rsid w:val="00A97315"/>
    <w:rsid w:val="00A97DFD"/>
    <w:rsid w:val="00A97F97"/>
    <w:rsid w:val="00AA1D87"/>
    <w:rsid w:val="00AA1EF3"/>
    <w:rsid w:val="00AA212D"/>
    <w:rsid w:val="00AA4054"/>
    <w:rsid w:val="00AA4397"/>
    <w:rsid w:val="00AA4BF1"/>
    <w:rsid w:val="00AA665A"/>
    <w:rsid w:val="00AA6A7E"/>
    <w:rsid w:val="00AA7913"/>
    <w:rsid w:val="00AB22F8"/>
    <w:rsid w:val="00AB23FF"/>
    <w:rsid w:val="00AB471E"/>
    <w:rsid w:val="00AB5E2C"/>
    <w:rsid w:val="00AC2E39"/>
    <w:rsid w:val="00AC3AD6"/>
    <w:rsid w:val="00AC4F67"/>
    <w:rsid w:val="00AC5BD9"/>
    <w:rsid w:val="00AC5F25"/>
    <w:rsid w:val="00AC79D3"/>
    <w:rsid w:val="00AD0355"/>
    <w:rsid w:val="00AD10EE"/>
    <w:rsid w:val="00AD1E9F"/>
    <w:rsid w:val="00AD27C1"/>
    <w:rsid w:val="00AD5D1D"/>
    <w:rsid w:val="00AD74BB"/>
    <w:rsid w:val="00AE11FF"/>
    <w:rsid w:val="00AE1CB0"/>
    <w:rsid w:val="00AE1E74"/>
    <w:rsid w:val="00AE4383"/>
    <w:rsid w:val="00AE4F84"/>
    <w:rsid w:val="00AE597A"/>
    <w:rsid w:val="00AE5E84"/>
    <w:rsid w:val="00AE65B4"/>
    <w:rsid w:val="00AE6913"/>
    <w:rsid w:val="00AE6D3F"/>
    <w:rsid w:val="00AE7B34"/>
    <w:rsid w:val="00AF35C6"/>
    <w:rsid w:val="00AF3657"/>
    <w:rsid w:val="00AF3A51"/>
    <w:rsid w:val="00AF5867"/>
    <w:rsid w:val="00AF7990"/>
    <w:rsid w:val="00AF7BB7"/>
    <w:rsid w:val="00B01365"/>
    <w:rsid w:val="00B0278E"/>
    <w:rsid w:val="00B0382E"/>
    <w:rsid w:val="00B07AA9"/>
    <w:rsid w:val="00B105DA"/>
    <w:rsid w:val="00B1063A"/>
    <w:rsid w:val="00B10FF6"/>
    <w:rsid w:val="00B12542"/>
    <w:rsid w:val="00B147F1"/>
    <w:rsid w:val="00B16560"/>
    <w:rsid w:val="00B218BD"/>
    <w:rsid w:val="00B2557F"/>
    <w:rsid w:val="00B262BC"/>
    <w:rsid w:val="00B26DE3"/>
    <w:rsid w:val="00B27269"/>
    <w:rsid w:val="00B316EF"/>
    <w:rsid w:val="00B34408"/>
    <w:rsid w:val="00B34890"/>
    <w:rsid w:val="00B3500C"/>
    <w:rsid w:val="00B350B1"/>
    <w:rsid w:val="00B361AD"/>
    <w:rsid w:val="00B36864"/>
    <w:rsid w:val="00B4088E"/>
    <w:rsid w:val="00B41D85"/>
    <w:rsid w:val="00B43477"/>
    <w:rsid w:val="00B435B5"/>
    <w:rsid w:val="00B43A8C"/>
    <w:rsid w:val="00B447E5"/>
    <w:rsid w:val="00B45CD5"/>
    <w:rsid w:val="00B46E73"/>
    <w:rsid w:val="00B46EAA"/>
    <w:rsid w:val="00B50168"/>
    <w:rsid w:val="00B510F6"/>
    <w:rsid w:val="00B5125E"/>
    <w:rsid w:val="00B53C27"/>
    <w:rsid w:val="00B53CE3"/>
    <w:rsid w:val="00B551D1"/>
    <w:rsid w:val="00B564B1"/>
    <w:rsid w:val="00B564B6"/>
    <w:rsid w:val="00B57365"/>
    <w:rsid w:val="00B57D68"/>
    <w:rsid w:val="00B60332"/>
    <w:rsid w:val="00B60618"/>
    <w:rsid w:val="00B60927"/>
    <w:rsid w:val="00B63E5A"/>
    <w:rsid w:val="00B64536"/>
    <w:rsid w:val="00B651B9"/>
    <w:rsid w:val="00B652C0"/>
    <w:rsid w:val="00B662E0"/>
    <w:rsid w:val="00B66BE3"/>
    <w:rsid w:val="00B67C72"/>
    <w:rsid w:val="00B71A98"/>
    <w:rsid w:val="00B801E5"/>
    <w:rsid w:val="00B80F64"/>
    <w:rsid w:val="00B8107D"/>
    <w:rsid w:val="00B82BFE"/>
    <w:rsid w:val="00B83885"/>
    <w:rsid w:val="00B84693"/>
    <w:rsid w:val="00B86271"/>
    <w:rsid w:val="00B867A0"/>
    <w:rsid w:val="00B87035"/>
    <w:rsid w:val="00B87DA2"/>
    <w:rsid w:val="00B90B9F"/>
    <w:rsid w:val="00B93AAA"/>
    <w:rsid w:val="00B93BA9"/>
    <w:rsid w:val="00B95568"/>
    <w:rsid w:val="00B955C6"/>
    <w:rsid w:val="00B971AD"/>
    <w:rsid w:val="00BA0223"/>
    <w:rsid w:val="00BA139E"/>
    <w:rsid w:val="00BA175C"/>
    <w:rsid w:val="00BA287A"/>
    <w:rsid w:val="00BA3A7F"/>
    <w:rsid w:val="00BA4198"/>
    <w:rsid w:val="00BA684F"/>
    <w:rsid w:val="00BA6B76"/>
    <w:rsid w:val="00BA7177"/>
    <w:rsid w:val="00BB0029"/>
    <w:rsid w:val="00BB0FE8"/>
    <w:rsid w:val="00BB32FC"/>
    <w:rsid w:val="00BB3E16"/>
    <w:rsid w:val="00BB58EB"/>
    <w:rsid w:val="00BB6374"/>
    <w:rsid w:val="00BB7510"/>
    <w:rsid w:val="00BC010F"/>
    <w:rsid w:val="00BC022B"/>
    <w:rsid w:val="00BC3579"/>
    <w:rsid w:val="00BC3D78"/>
    <w:rsid w:val="00BC4E5F"/>
    <w:rsid w:val="00BC587A"/>
    <w:rsid w:val="00BC7FBF"/>
    <w:rsid w:val="00BD12D1"/>
    <w:rsid w:val="00BD19F2"/>
    <w:rsid w:val="00BD1CEC"/>
    <w:rsid w:val="00BD2203"/>
    <w:rsid w:val="00BD2EF4"/>
    <w:rsid w:val="00BD3D7A"/>
    <w:rsid w:val="00BD5E42"/>
    <w:rsid w:val="00BE0033"/>
    <w:rsid w:val="00BE1D69"/>
    <w:rsid w:val="00BE60B1"/>
    <w:rsid w:val="00BE64B8"/>
    <w:rsid w:val="00BE6646"/>
    <w:rsid w:val="00BE67F2"/>
    <w:rsid w:val="00BE6F7C"/>
    <w:rsid w:val="00BF0E1C"/>
    <w:rsid w:val="00BF2626"/>
    <w:rsid w:val="00BF3277"/>
    <w:rsid w:val="00BF375E"/>
    <w:rsid w:val="00BF45D1"/>
    <w:rsid w:val="00BF494F"/>
    <w:rsid w:val="00BF4BEE"/>
    <w:rsid w:val="00BF4F79"/>
    <w:rsid w:val="00BF602B"/>
    <w:rsid w:val="00BF63C1"/>
    <w:rsid w:val="00BF68C9"/>
    <w:rsid w:val="00C02DD5"/>
    <w:rsid w:val="00C02EEC"/>
    <w:rsid w:val="00C03507"/>
    <w:rsid w:val="00C05748"/>
    <w:rsid w:val="00C062E5"/>
    <w:rsid w:val="00C07F61"/>
    <w:rsid w:val="00C10544"/>
    <w:rsid w:val="00C11518"/>
    <w:rsid w:val="00C1427B"/>
    <w:rsid w:val="00C14A4F"/>
    <w:rsid w:val="00C159D3"/>
    <w:rsid w:val="00C17497"/>
    <w:rsid w:val="00C177D6"/>
    <w:rsid w:val="00C201D5"/>
    <w:rsid w:val="00C20CAF"/>
    <w:rsid w:val="00C20D74"/>
    <w:rsid w:val="00C21A50"/>
    <w:rsid w:val="00C21E6F"/>
    <w:rsid w:val="00C22363"/>
    <w:rsid w:val="00C22C9C"/>
    <w:rsid w:val="00C22F7D"/>
    <w:rsid w:val="00C23AFC"/>
    <w:rsid w:val="00C23DA4"/>
    <w:rsid w:val="00C25FEB"/>
    <w:rsid w:val="00C3219C"/>
    <w:rsid w:val="00C34BFD"/>
    <w:rsid w:val="00C36461"/>
    <w:rsid w:val="00C3723E"/>
    <w:rsid w:val="00C37576"/>
    <w:rsid w:val="00C3775E"/>
    <w:rsid w:val="00C37944"/>
    <w:rsid w:val="00C417D0"/>
    <w:rsid w:val="00C42950"/>
    <w:rsid w:val="00C43919"/>
    <w:rsid w:val="00C442AE"/>
    <w:rsid w:val="00C444CC"/>
    <w:rsid w:val="00C4564C"/>
    <w:rsid w:val="00C45854"/>
    <w:rsid w:val="00C4706A"/>
    <w:rsid w:val="00C472A2"/>
    <w:rsid w:val="00C5161D"/>
    <w:rsid w:val="00C519B6"/>
    <w:rsid w:val="00C51B53"/>
    <w:rsid w:val="00C52627"/>
    <w:rsid w:val="00C52BD4"/>
    <w:rsid w:val="00C541E5"/>
    <w:rsid w:val="00C55671"/>
    <w:rsid w:val="00C55C33"/>
    <w:rsid w:val="00C57128"/>
    <w:rsid w:val="00C603C3"/>
    <w:rsid w:val="00C613D2"/>
    <w:rsid w:val="00C61F66"/>
    <w:rsid w:val="00C6275C"/>
    <w:rsid w:val="00C6275D"/>
    <w:rsid w:val="00C6366C"/>
    <w:rsid w:val="00C64532"/>
    <w:rsid w:val="00C676F2"/>
    <w:rsid w:val="00C6777D"/>
    <w:rsid w:val="00C71278"/>
    <w:rsid w:val="00C7183D"/>
    <w:rsid w:val="00C7196E"/>
    <w:rsid w:val="00C71AD2"/>
    <w:rsid w:val="00C73E7A"/>
    <w:rsid w:val="00C74B13"/>
    <w:rsid w:val="00C76C32"/>
    <w:rsid w:val="00C76D48"/>
    <w:rsid w:val="00C819C9"/>
    <w:rsid w:val="00C81BA1"/>
    <w:rsid w:val="00C82B2D"/>
    <w:rsid w:val="00C861C5"/>
    <w:rsid w:val="00C878C1"/>
    <w:rsid w:val="00C92C27"/>
    <w:rsid w:val="00C930C2"/>
    <w:rsid w:val="00C96568"/>
    <w:rsid w:val="00C96820"/>
    <w:rsid w:val="00CA1E5D"/>
    <w:rsid w:val="00CA3F65"/>
    <w:rsid w:val="00CA4E1B"/>
    <w:rsid w:val="00CA54A5"/>
    <w:rsid w:val="00CA5DF7"/>
    <w:rsid w:val="00CA73CF"/>
    <w:rsid w:val="00CB13E6"/>
    <w:rsid w:val="00CB237C"/>
    <w:rsid w:val="00CB3671"/>
    <w:rsid w:val="00CB3B55"/>
    <w:rsid w:val="00CB4720"/>
    <w:rsid w:val="00CB5DD7"/>
    <w:rsid w:val="00CB6492"/>
    <w:rsid w:val="00CC22BE"/>
    <w:rsid w:val="00CC2E19"/>
    <w:rsid w:val="00CC3603"/>
    <w:rsid w:val="00CC45F3"/>
    <w:rsid w:val="00CC4F01"/>
    <w:rsid w:val="00CD17BD"/>
    <w:rsid w:val="00CD2130"/>
    <w:rsid w:val="00CD3949"/>
    <w:rsid w:val="00CD47AC"/>
    <w:rsid w:val="00CD4929"/>
    <w:rsid w:val="00CD4BB2"/>
    <w:rsid w:val="00CD7193"/>
    <w:rsid w:val="00CE16ED"/>
    <w:rsid w:val="00CE6BCB"/>
    <w:rsid w:val="00CE6E6A"/>
    <w:rsid w:val="00CE6EF2"/>
    <w:rsid w:val="00CE7C2C"/>
    <w:rsid w:val="00D000EC"/>
    <w:rsid w:val="00D0150A"/>
    <w:rsid w:val="00D01DC2"/>
    <w:rsid w:val="00D03766"/>
    <w:rsid w:val="00D04B4D"/>
    <w:rsid w:val="00D078E1"/>
    <w:rsid w:val="00D10211"/>
    <w:rsid w:val="00D11758"/>
    <w:rsid w:val="00D1298F"/>
    <w:rsid w:val="00D12BA5"/>
    <w:rsid w:val="00D14F1D"/>
    <w:rsid w:val="00D20457"/>
    <w:rsid w:val="00D207FC"/>
    <w:rsid w:val="00D22220"/>
    <w:rsid w:val="00D2238A"/>
    <w:rsid w:val="00D22D7E"/>
    <w:rsid w:val="00D23728"/>
    <w:rsid w:val="00D253AB"/>
    <w:rsid w:val="00D26008"/>
    <w:rsid w:val="00D26A50"/>
    <w:rsid w:val="00D303AF"/>
    <w:rsid w:val="00D304AB"/>
    <w:rsid w:val="00D32DFB"/>
    <w:rsid w:val="00D33BD9"/>
    <w:rsid w:val="00D3415A"/>
    <w:rsid w:val="00D35463"/>
    <w:rsid w:val="00D35AB9"/>
    <w:rsid w:val="00D35DC7"/>
    <w:rsid w:val="00D35DEF"/>
    <w:rsid w:val="00D3717F"/>
    <w:rsid w:val="00D37D86"/>
    <w:rsid w:val="00D4082D"/>
    <w:rsid w:val="00D4161B"/>
    <w:rsid w:val="00D41B8A"/>
    <w:rsid w:val="00D4211D"/>
    <w:rsid w:val="00D429B8"/>
    <w:rsid w:val="00D44CF6"/>
    <w:rsid w:val="00D45147"/>
    <w:rsid w:val="00D463FC"/>
    <w:rsid w:val="00D47804"/>
    <w:rsid w:val="00D519F6"/>
    <w:rsid w:val="00D52A4A"/>
    <w:rsid w:val="00D52F5F"/>
    <w:rsid w:val="00D53CD0"/>
    <w:rsid w:val="00D53D25"/>
    <w:rsid w:val="00D56F12"/>
    <w:rsid w:val="00D572A9"/>
    <w:rsid w:val="00D60050"/>
    <w:rsid w:val="00D61912"/>
    <w:rsid w:val="00D61BC0"/>
    <w:rsid w:val="00D6232A"/>
    <w:rsid w:val="00D6317B"/>
    <w:rsid w:val="00D63E47"/>
    <w:rsid w:val="00D64240"/>
    <w:rsid w:val="00D64B5D"/>
    <w:rsid w:val="00D64D9D"/>
    <w:rsid w:val="00D66426"/>
    <w:rsid w:val="00D66AF2"/>
    <w:rsid w:val="00D67143"/>
    <w:rsid w:val="00D67195"/>
    <w:rsid w:val="00D673B0"/>
    <w:rsid w:val="00D67987"/>
    <w:rsid w:val="00D67C93"/>
    <w:rsid w:val="00D67EC0"/>
    <w:rsid w:val="00D71A4D"/>
    <w:rsid w:val="00D7340F"/>
    <w:rsid w:val="00D75516"/>
    <w:rsid w:val="00D75599"/>
    <w:rsid w:val="00D75CF2"/>
    <w:rsid w:val="00D75FF4"/>
    <w:rsid w:val="00D76274"/>
    <w:rsid w:val="00D770CD"/>
    <w:rsid w:val="00D77497"/>
    <w:rsid w:val="00D80559"/>
    <w:rsid w:val="00D824E7"/>
    <w:rsid w:val="00D82966"/>
    <w:rsid w:val="00D83479"/>
    <w:rsid w:val="00D84BD1"/>
    <w:rsid w:val="00D84D5E"/>
    <w:rsid w:val="00D8505F"/>
    <w:rsid w:val="00D863E0"/>
    <w:rsid w:val="00D866E0"/>
    <w:rsid w:val="00D867B1"/>
    <w:rsid w:val="00D86CB2"/>
    <w:rsid w:val="00D9155E"/>
    <w:rsid w:val="00D92EDB"/>
    <w:rsid w:val="00D93340"/>
    <w:rsid w:val="00D936FA"/>
    <w:rsid w:val="00D946C3"/>
    <w:rsid w:val="00D959EC"/>
    <w:rsid w:val="00D97062"/>
    <w:rsid w:val="00DA03AE"/>
    <w:rsid w:val="00DA1207"/>
    <w:rsid w:val="00DA1E3F"/>
    <w:rsid w:val="00DA2D35"/>
    <w:rsid w:val="00DA2E1A"/>
    <w:rsid w:val="00DA3AC7"/>
    <w:rsid w:val="00DA3B4D"/>
    <w:rsid w:val="00DA3D1A"/>
    <w:rsid w:val="00DA4115"/>
    <w:rsid w:val="00DA527F"/>
    <w:rsid w:val="00DA6187"/>
    <w:rsid w:val="00DA7D9E"/>
    <w:rsid w:val="00DA7FAD"/>
    <w:rsid w:val="00DB052A"/>
    <w:rsid w:val="00DB09C5"/>
    <w:rsid w:val="00DB0F97"/>
    <w:rsid w:val="00DB11E1"/>
    <w:rsid w:val="00DB2527"/>
    <w:rsid w:val="00DB2B0A"/>
    <w:rsid w:val="00DB3AC0"/>
    <w:rsid w:val="00DB6B62"/>
    <w:rsid w:val="00DB6FEB"/>
    <w:rsid w:val="00DB7808"/>
    <w:rsid w:val="00DC2413"/>
    <w:rsid w:val="00DC46F6"/>
    <w:rsid w:val="00DC5B32"/>
    <w:rsid w:val="00DC60C5"/>
    <w:rsid w:val="00DC7417"/>
    <w:rsid w:val="00DC7994"/>
    <w:rsid w:val="00DC7C1F"/>
    <w:rsid w:val="00DD024A"/>
    <w:rsid w:val="00DD0441"/>
    <w:rsid w:val="00DD0B9C"/>
    <w:rsid w:val="00DD14FB"/>
    <w:rsid w:val="00DD3547"/>
    <w:rsid w:val="00DD413B"/>
    <w:rsid w:val="00DD5707"/>
    <w:rsid w:val="00DD66D1"/>
    <w:rsid w:val="00DD7A02"/>
    <w:rsid w:val="00DE10F8"/>
    <w:rsid w:val="00DE2E28"/>
    <w:rsid w:val="00DE4A0E"/>
    <w:rsid w:val="00DE5974"/>
    <w:rsid w:val="00DE7694"/>
    <w:rsid w:val="00DE77FB"/>
    <w:rsid w:val="00DF0679"/>
    <w:rsid w:val="00DF28E3"/>
    <w:rsid w:val="00DF4741"/>
    <w:rsid w:val="00DF5DF4"/>
    <w:rsid w:val="00DF60AA"/>
    <w:rsid w:val="00DF6466"/>
    <w:rsid w:val="00DF659F"/>
    <w:rsid w:val="00E01327"/>
    <w:rsid w:val="00E035CB"/>
    <w:rsid w:val="00E036C0"/>
    <w:rsid w:val="00E042A9"/>
    <w:rsid w:val="00E051BD"/>
    <w:rsid w:val="00E05B07"/>
    <w:rsid w:val="00E0754C"/>
    <w:rsid w:val="00E10C21"/>
    <w:rsid w:val="00E10E16"/>
    <w:rsid w:val="00E117D6"/>
    <w:rsid w:val="00E1484A"/>
    <w:rsid w:val="00E16020"/>
    <w:rsid w:val="00E16870"/>
    <w:rsid w:val="00E20371"/>
    <w:rsid w:val="00E20C06"/>
    <w:rsid w:val="00E2144E"/>
    <w:rsid w:val="00E22B2A"/>
    <w:rsid w:val="00E22D79"/>
    <w:rsid w:val="00E22DA1"/>
    <w:rsid w:val="00E23461"/>
    <w:rsid w:val="00E23C85"/>
    <w:rsid w:val="00E2463A"/>
    <w:rsid w:val="00E260D4"/>
    <w:rsid w:val="00E27FCF"/>
    <w:rsid w:val="00E313D3"/>
    <w:rsid w:val="00E3422C"/>
    <w:rsid w:val="00E34913"/>
    <w:rsid w:val="00E35B5D"/>
    <w:rsid w:val="00E363C9"/>
    <w:rsid w:val="00E415E3"/>
    <w:rsid w:val="00E4745A"/>
    <w:rsid w:val="00E5280E"/>
    <w:rsid w:val="00E55E77"/>
    <w:rsid w:val="00E5611C"/>
    <w:rsid w:val="00E57EBE"/>
    <w:rsid w:val="00E60E28"/>
    <w:rsid w:val="00E631A9"/>
    <w:rsid w:val="00E643C6"/>
    <w:rsid w:val="00E66492"/>
    <w:rsid w:val="00E67261"/>
    <w:rsid w:val="00E67AF4"/>
    <w:rsid w:val="00E67FA5"/>
    <w:rsid w:val="00E71689"/>
    <w:rsid w:val="00E720D0"/>
    <w:rsid w:val="00E72563"/>
    <w:rsid w:val="00E74572"/>
    <w:rsid w:val="00E74C4E"/>
    <w:rsid w:val="00E752FC"/>
    <w:rsid w:val="00E754EA"/>
    <w:rsid w:val="00E77066"/>
    <w:rsid w:val="00E770E2"/>
    <w:rsid w:val="00E779FE"/>
    <w:rsid w:val="00E81ACA"/>
    <w:rsid w:val="00E862B3"/>
    <w:rsid w:val="00E87ACF"/>
    <w:rsid w:val="00E901CB"/>
    <w:rsid w:val="00E933CB"/>
    <w:rsid w:val="00E95433"/>
    <w:rsid w:val="00E955BE"/>
    <w:rsid w:val="00E97389"/>
    <w:rsid w:val="00EA104E"/>
    <w:rsid w:val="00EA1240"/>
    <w:rsid w:val="00EA1A00"/>
    <w:rsid w:val="00EA1E82"/>
    <w:rsid w:val="00EA1F1A"/>
    <w:rsid w:val="00EA3D0E"/>
    <w:rsid w:val="00EA42E6"/>
    <w:rsid w:val="00EA42EF"/>
    <w:rsid w:val="00EA55E2"/>
    <w:rsid w:val="00EA5AE1"/>
    <w:rsid w:val="00EA706A"/>
    <w:rsid w:val="00EA73EE"/>
    <w:rsid w:val="00EB3D39"/>
    <w:rsid w:val="00EB55D9"/>
    <w:rsid w:val="00EC0921"/>
    <w:rsid w:val="00EC0B7F"/>
    <w:rsid w:val="00EC4C40"/>
    <w:rsid w:val="00EC4ECB"/>
    <w:rsid w:val="00EC5E5D"/>
    <w:rsid w:val="00EC7706"/>
    <w:rsid w:val="00ED084C"/>
    <w:rsid w:val="00ED146F"/>
    <w:rsid w:val="00ED3908"/>
    <w:rsid w:val="00ED48BF"/>
    <w:rsid w:val="00ED690C"/>
    <w:rsid w:val="00ED6F56"/>
    <w:rsid w:val="00ED705B"/>
    <w:rsid w:val="00EE0438"/>
    <w:rsid w:val="00EE165F"/>
    <w:rsid w:val="00EE1BAD"/>
    <w:rsid w:val="00EE349A"/>
    <w:rsid w:val="00EE3C61"/>
    <w:rsid w:val="00EE63F1"/>
    <w:rsid w:val="00EE67AA"/>
    <w:rsid w:val="00EE6B01"/>
    <w:rsid w:val="00EE6D80"/>
    <w:rsid w:val="00EE6EF1"/>
    <w:rsid w:val="00EE730A"/>
    <w:rsid w:val="00EE7E7C"/>
    <w:rsid w:val="00EF39CA"/>
    <w:rsid w:val="00EF56A1"/>
    <w:rsid w:val="00EF7993"/>
    <w:rsid w:val="00F01196"/>
    <w:rsid w:val="00F013C0"/>
    <w:rsid w:val="00F03EBA"/>
    <w:rsid w:val="00F058A1"/>
    <w:rsid w:val="00F05919"/>
    <w:rsid w:val="00F05BB3"/>
    <w:rsid w:val="00F06133"/>
    <w:rsid w:val="00F06632"/>
    <w:rsid w:val="00F077ED"/>
    <w:rsid w:val="00F121A6"/>
    <w:rsid w:val="00F1307A"/>
    <w:rsid w:val="00F1494F"/>
    <w:rsid w:val="00F14ACB"/>
    <w:rsid w:val="00F15489"/>
    <w:rsid w:val="00F15635"/>
    <w:rsid w:val="00F15A2C"/>
    <w:rsid w:val="00F16117"/>
    <w:rsid w:val="00F17ACA"/>
    <w:rsid w:val="00F227F6"/>
    <w:rsid w:val="00F22ACB"/>
    <w:rsid w:val="00F2339D"/>
    <w:rsid w:val="00F25658"/>
    <w:rsid w:val="00F26DAF"/>
    <w:rsid w:val="00F27BBD"/>
    <w:rsid w:val="00F27DD3"/>
    <w:rsid w:val="00F3191C"/>
    <w:rsid w:val="00F32B66"/>
    <w:rsid w:val="00F33451"/>
    <w:rsid w:val="00F34435"/>
    <w:rsid w:val="00F3538C"/>
    <w:rsid w:val="00F359C3"/>
    <w:rsid w:val="00F37917"/>
    <w:rsid w:val="00F37CFB"/>
    <w:rsid w:val="00F40B96"/>
    <w:rsid w:val="00F4143D"/>
    <w:rsid w:val="00F42477"/>
    <w:rsid w:val="00F4631A"/>
    <w:rsid w:val="00F46C47"/>
    <w:rsid w:val="00F4742E"/>
    <w:rsid w:val="00F51D06"/>
    <w:rsid w:val="00F552DE"/>
    <w:rsid w:val="00F56DBF"/>
    <w:rsid w:val="00F6037A"/>
    <w:rsid w:val="00F603DB"/>
    <w:rsid w:val="00F603E7"/>
    <w:rsid w:val="00F64146"/>
    <w:rsid w:val="00F6501E"/>
    <w:rsid w:val="00F658E9"/>
    <w:rsid w:val="00F67200"/>
    <w:rsid w:val="00F67C28"/>
    <w:rsid w:val="00F70835"/>
    <w:rsid w:val="00F70B3E"/>
    <w:rsid w:val="00F70D8E"/>
    <w:rsid w:val="00F7288B"/>
    <w:rsid w:val="00F73C55"/>
    <w:rsid w:val="00F73D00"/>
    <w:rsid w:val="00F75184"/>
    <w:rsid w:val="00F75CD8"/>
    <w:rsid w:val="00F77052"/>
    <w:rsid w:val="00F77242"/>
    <w:rsid w:val="00F7727C"/>
    <w:rsid w:val="00F77975"/>
    <w:rsid w:val="00F8061A"/>
    <w:rsid w:val="00F81C1E"/>
    <w:rsid w:val="00F8221C"/>
    <w:rsid w:val="00F82D70"/>
    <w:rsid w:val="00F83627"/>
    <w:rsid w:val="00F87258"/>
    <w:rsid w:val="00F9178E"/>
    <w:rsid w:val="00F9488A"/>
    <w:rsid w:val="00F94F2F"/>
    <w:rsid w:val="00F9531D"/>
    <w:rsid w:val="00F97FB9"/>
    <w:rsid w:val="00FB077F"/>
    <w:rsid w:val="00FB10DA"/>
    <w:rsid w:val="00FB21E9"/>
    <w:rsid w:val="00FB2E7E"/>
    <w:rsid w:val="00FB5783"/>
    <w:rsid w:val="00FC04B0"/>
    <w:rsid w:val="00FC04F1"/>
    <w:rsid w:val="00FC174D"/>
    <w:rsid w:val="00FC2FC0"/>
    <w:rsid w:val="00FC3CEA"/>
    <w:rsid w:val="00FC40D6"/>
    <w:rsid w:val="00FC47FC"/>
    <w:rsid w:val="00FC5642"/>
    <w:rsid w:val="00FD1668"/>
    <w:rsid w:val="00FD2228"/>
    <w:rsid w:val="00FD2359"/>
    <w:rsid w:val="00FD30B4"/>
    <w:rsid w:val="00FD347A"/>
    <w:rsid w:val="00FD6FE1"/>
    <w:rsid w:val="00FD71BD"/>
    <w:rsid w:val="00FD7C65"/>
    <w:rsid w:val="00FE0444"/>
    <w:rsid w:val="00FE1D09"/>
    <w:rsid w:val="00FE2450"/>
    <w:rsid w:val="00FE2D14"/>
    <w:rsid w:val="00FE6FEC"/>
    <w:rsid w:val="00FE7BA0"/>
    <w:rsid w:val="00FE7FEE"/>
    <w:rsid w:val="00FF1D9F"/>
    <w:rsid w:val="00FF208A"/>
    <w:rsid w:val="00FF4875"/>
    <w:rsid w:val="00FF5778"/>
    <w:rsid w:val="00FF7329"/>
    <w:rsid w:val="00FF7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1"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B45"/>
    <w:pPr>
      <w:spacing w:after="120" w:line="360" w:lineRule="auto"/>
      <w:ind w:firstLine="720"/>
      <w:jc w:val="both"/>
      <w:outlineLvl w:val="3"/>
    </w:pPr>
    <w:rPr>
      <w:sz w:val="24"/>
      <w:szCs w:val="24"/>
    </w:rPr>
  </w:style>
  <w:style w:type="paragraph" w:styleId="Heading1">
    <w:name w:val="heading 1"/>
    <w:aliases w:val="Section"/>
    <w:basedOn w:val="Normal"/>
    <w:next w:val="Normal"/>
    <w:qFormat/>
    <w:rsid w:val="00C6366C"/>
    <w:pPr>
      <w:keepNext/>
      <w:spacing w:before="360" w:after="240" w:line="240" w:lineRule="auto"/>
      <w:ind w:left="720" w:hanging="720"/>
      <w:jc w:val="center"/>
      <w:outlineLvl w:val="0"/>
    </w:pPr>
    <w:rPr>
      <w:b/>
      <w:caps/>
    </w:rPr>
  </w:style>
  <w:style w:type="paragraph" w:styleId="Heading2">
    <w:name w:val="heading 2"/>
    <w:aliases w:val="Sub1"/>
    <w:basedOn w:val="Normal"/>
    <w:next w:val="Normal"/>
    <w:link w:val="Heading2Char"/>
    <w:uiPriority w:val="1"/>
    <w:qFormat/>
    <w:rsid w:val="00113058"/>
    <w:pPr>
      <w:keepNext/>
      <w:spacing w:before="360"/>
      <w:ind w:left="720" w:hanging="360"/>
      <w:outlineLvl w:val="1"/>
    </w:pPr>
    <w:rPr>
      <w:rFonts w:ascii="Times New Roman Bold" w:hAnsi="Times New Roman Bold"/>
      <w:b/>
    </w:rPr>
  </w:style>
  <w:style w:type="paragraph" w:styleId="Heading3">
    <w:name w:val="heading 3"/>
    <w:aliases w:val="Sub2"/>
    <w:basedOn w:val="Heading2"/>
    <w:next w:val="Normal"/>
    <w:link w:val="Heading3Char"/>
    <w:qFormat/>
    <w:rsid w:val="00113058"/>
    <w:pPr>
      <w:ind w:left="1080"/>
      <w:outlineLvl w:val="2"/>
    </w:pPr>
  </w:style>
  <w:style w:type="paragraph" w:styleId="Heading4">
    <w:name w:val="heading 4"/>
    <w:aliases w:val="Sub3"/>
    <w:basedOn w:val="Normal"/>
    <w:next w:val="Normal"/>
    <w:link w:val="Heading4Char"/>
    <w:qFormat/>
    <w:rsid w:val="00113058"/>
    <w:pPr>
      <w:ind w:left="1440" w:hanging="360"/>
    </w:pPr>
    <w:rPr>
      <w:b/>
    </w:r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link w:val="DocumentheadingChar"/>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next w:val="Footnoteparagraph"/>
    <w:link w:val="FootnoteTextChar"/>
    <w:uiPriority w:val="99"/>
    <w:qFormat/>
    <w:rsid w:val="00975D8A"/>
    <w:pPr>
      <w:spacing w:line="240" w:lineRule="auto"/>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uiPriority w:val="99"/>
    <w:qFormat/>
    <w:rPr>
      <w:position w:val="6"/>
      <w:sz w:val="16"/>
    </w:rPr>
  </w:style>
  <w:style w:type="paragraph" w:styleId="Header">
    <w:name w:val="header"/>
    <w:basedOn w:val="Normal"/>
    <w:link w:val="HeaderChar"/>
    <w:autoRedefine/>
    <w:rsid w:val="003246A8"/>
    <w:pPr>
      <w:tabs>
        <w:tab w:val="center" w:pos="4680"/>
        <w:tab w:val="right" w:pos="9360"/>
      </w:tabs>
      <w:spacing w:after="240" w:line="240" w:lineRule="auto"/>
      <w:ind w:firstLine="0"/>
      <w:jc w:val="center"/>
    </w:pPr>
    <w:rPr>
      <w:b/>
      <w:caps/>
      <w:sz w:val="28"/>
      <w:szCs w:val="28"/>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uiPriority w:val="1"/>
    <w:qFormat/>
    <w:rsid w:val="002067CF"/>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qFormat/>
    <w:rsid w:val="00995672"/>
    <w:pPr>
      <w:spacing w:after="0"/>
      <w:ind w:left="0" w:firstLine="0"/>
      <w:jc w:val="left"/>
      <w:outlineLvl w:val="9"/>
    </w:pPr>
    <w:rPr>
      <w:rFonts w:cs="Arial"/>
      <w:bCs/>
    </w:rPr>
  </w:style>
  <w:style w:type="paragraph" w:styleId="TOC2">
    <w:name w:val="toc 2"/>
    <w:basedOn w:val="TOC1"/>
    <w:next w:val="Normal"/>
    <w:autoRedefine/>
    <w:uiPriority w:val="39"/>
    <w:qFormat/>
    <w:rsid w:val="004C51B7"/>
    <w:pPr>
      <w:keepNext w:val="0"/>
      <w:widowControl w:val="0"/>
      <w:tabs>
        <w:tab w:val="left" w:pos="960"/>
        <w:tab w:val="right" w:leader="dot" w:pos="9350"/>
      </w:tabs>
      <w:spacing w:before="240"/>
      <w:ind w:left="360"/>
    </w:pPr>
    <w:rPr>
      <w:rFonts w:cs="Times New Roman"/>
      <w:caps w:val="0"/>
      <w:noProof/>
      <w:szCs w:val="20"/>
    </w:rPr>
  </w:style>
  <w:style w:type="paragraph" w:styleId="TOC3">
    <w:name w:val="toc 3"/>
    <w:basedOn w:val="TOC2"/>
    <w:next w:val="Normal"/>
    <w:uiPriority w:val="39"/>
    <w:qFormat/>
    <w:rsid w:val="00A66467"/>
    <w:pPr>
      <w:spacing w:before="0"/>
      <w:ind w:left="720"/>
    </w:pPr>
    <w:rPr>
      <w:b w:val="0"/>
      <w:bCs w:val="0"/>
    </w:rPr>
  </w:style>
  <w:style w:type="paragraph" w:styleId="TOC4">
    <w:name w:val="toc 4"/>
    <w:basedOn w:val="TOC3"/>
    <w:next w:val="Normal"/>
    <w:uiPriority w:val="39"/>
    <w:pPr>
      <w:ind w:left="480"/>
    </w:pPr>
  </w:style>
  <w:style w:type="paragraph" w:styleId="TOC5">
    <w:name w:val="toc 5"/>
    <w:basedOn w:val="TOC4"/>
    <w:next w:val="Normal"/>
    <w:uiPriority w:val="39"/>
    <w:pPr>
      <w:ind w:left="720"/>
    </w:pPr>
  </w:style>
  <w:style w:type="paragraph" w:styleId="TOC6">
    <w:name w:val="toc 6"/>
    <w:basedOn w:val="TOC5"/>
    <w:next w:val="Normal"/>
    <w:uiPriority w:val="39"/>
    <w:pPr>
      <w:ind w:left="960"/>
    </w:pPr>
  </w:style>
  <w:style w:type="paragraph" w:styleId="TOC7">
    <w:name w:val="toc 7"/>
    <w:basedOn w:val="TOC6"/>
    <w:next w:val="Normal"/>
    <w:uiPriority w:val="39"/>
    <w:pPr>
      <w:ind w:left="1200"/>
    </w:pPr>
  </w:style>
  <w:style w:type="paragraph" w:styleId="TOC8">
    <w:name w:val="toc 8"/>
    <w:basedOn w:val="TOC7"/>
    <w:next w:val="Normal"/>
    <w:uiPriority w:val="39"/>
    <w:pPr>
      <w:ind w:left="1440"/>
    </w:pPr>
  </w:style>
  <w:style w:type="paragraph" w:styleId="TOC9">
    <w:name w:val="toc 9"/>
    <w:basedOn w:val="TOC8"/>
    <w:next w:val="Normal"/>
    <w:uiPriority w:val="39"/>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995672"/>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0A6448"/>
    <w:pPr>
      <w:outlineLvl w:val="9"/>
    </w:p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autoRedefine/>
    <w:qFormat/>
    <w:rsid w:val="00743F06"/>
    <w:pPr>
      <w:spacing w:before="240" w:after="240" w:line="240" w:lineRule="auto"/>
      <w:ind w:left="720" w:right="720" w:firstLine="0"/>
      <w:outlineLvl w:val="9"/>
    </w:pPr>
    <w:rPr>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link w:val="FootnoteText"/>
    <w:uiPriority w:val="99"/>
    <w:rsid w:val="00975D8A"/>
    <w:rPr>
      <w:szCs w:val="24"/>
    </w:rPr>
  </w:style>
  <w:style w:type="character" w:customStyle="1" w:styleId="FootnoteChar">
    <w:name w:val="Footnote Char"/>
    <w:basedOn w:val="FootnoteTextChar"/>
    <w:link w:val="Footnote"/>
    <w:rsid w:val="000A6448"/>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743F06"/>
    <w:rPr>
      <w:sz w:val="24"/>
    </w:rPr>
  </w:style>
  <w:style w:type="paragraph" w:customStyle="1" w:styleId="DocketNo0">
    <w:name w:val="Docket No"/>
    <w:basedOn w:val="Docketnumber"/>
    <w:link w:val="DocketNoChar"/>
    <w:qFormat/>
    <w:rsid w:val="00F77242"/>
    <w:pPr>
      <w:spacing w:line="240" w:lineRule="auto"/>
      <w:ind w:firstLine="0"/>
    </w:pPr>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77242"/>
    <w:rPr>
      <w:b/>
      <w:caps/>
      <w:sz w:val="28"/>
      <w:szCs w:val="24"/>
    </w:rPr>
  </w:style>
  <w:style w:type="character" w:customStyle="1" w:styleId="CertificateofServiceChar">
    <w:name w:val="Certificate of Service Char"/>
    <w:link w:val="CertificateofService"/>
    <w:rsid w:val="00F83627"/>
    <w:rPr>
      <w:b/>
      <w:caps/>
      <w:sz w:val="24"/>
      <w:szCs w:val="24"/>
    </w:rPr>
  </w:style>
  <w:style w:type="paragraph" w:customStyle="1" w:styleId="Style">
    <w:name w:val="Style"/>
    <w:basedOn w:val="Documentheading"/>
    <w:link w:val="StyleChar"/>
    <w:rsid w:val="0095647D"/>
    <w:pPr>
      <w:ind w:firstLine="0"/>
    </w:pPr>
    <w:rPr>
      <w:rFonts w:ascii="Times New Roman Bold" w:hAnsi="Times New Roman Bold"/>
    </w:rPr>
  </w:style>
  <w:style w:type="character" w:customStyle="1" w:styleId="DocumentheadingChar">
    <w:name w:val="Document heading Char"/>
    <w:basedOn w:val="DefaultParagraphFont"/>
    <w:link w:val="Documentheading"/>
    <w:rsid w:val="0095647D"/>
    <w:rPr>
      <w:b/>
      <w:caps/>
      <w:sz w:val="28"/>
      <w:szCs w:val="24"/>
    </w:rPr>
  </w:style>
  <w:style w:type="character" w:customStyle="1" w:styleId="StyleChar">
    <w:name w:val="Style Char"/>
    <w:basedOn w:val="DocumentheadingChar"/>
    <w:link w:val="Style"/>
    <w:rsid w:val="0095647D"/>
    <w:rPr>
      <w:rFonts w:ascii="Times New Roman Bold" w:hAnsi="Times New Roman Bold"/>
      <w:b/>
      <w:caps/>
      <w:sz w:val="28"/>
      <w:szCs w:val="24"/>
    </w:rPr>
  </w:style>
  <w:style w:type="paragraph" w:customStyle="1" w:styleId="NOINDENT">
    <w:name w:val="NO INDENT"/>
    <w:basedOn w:val="Normal"/>
    <w:link w:val="NOINDENTChar"/>
    <w:qFormat/>
    <w:rsid w:val="00BC7FBF"/>
    <w:pPr>
      <w:ind w:firstLine="0"/>
    </w:pPr>
  </w:style>
  <w:style w:type="character" w:customStyle="1" w:styleId="FooterChar">
    <w:name w:val="Footer Char"/>
    <w:basedOn w:val="DefaultParagraphFont"/>
    <w:link w:val="Footer"/>
    <w:uiPriority w:val="99"/>
    <w:rsid w:val="00BC7FBF"/>
    <w:rPr>
      <w:sz w:val="16"/>
      <w:szCs w:val="24"/>
    </w:rPr>
  </w:style>
  <w:style w:type="character" w:customStyle="1" w:styleId="NOINDENTChar">
    <w:name w:val="NO INDENT Char"/>
    <w:basedOn w:val="DefaultParagraphFont"/>
    <w:link w:val="NOINDENT"/>
    <w:rsid w:val="00BC7FBF"/>
    <w:rPr>
      <w:sz w:val="24"/>
      <w:szCs w:val="24"/>
    </w:rPr>
  </w:style>
  <w:style w:type="paragraph" w:customStyle="1" w:styleId="Subsection">
    <w:name w:val="Subsection"/>
    <w:basedOn w:val="Normal"/>
    <w:link w:val="SubsectionChar"/>
    <w:rsid w:val="00831A4E"/>
    <w:pPr>
      <w:keepNext/>
      <w:spacing w:before="120" w:line="240" w:lineRule="auto"/>
      <w:ind w:left="1080" w:hanging="360"/>
    </w:pPr>
    <w:rPr>
      <w:b/>
    </w:rPr>
  </w:style>
  <w:style w:type="character" w:customStyle="1" w:styleId="SubsectionChar">
    <w:name w:val="Subsection Char"/>
    <w:basedOn w:val="DefaultParagraphFont"/>
    <w:link w:val="Subsection"/>
    <w:rsid w:val="00831A4E"/>
    <w:rPr>
      <w:b/>
      <w:sz w:val="24"/>
      <w:szCs w:val="24"/>
    </w:rPr>
  </w:style>
  <w:style w:type="paragraph" w:customStyle="1" w:styleId="sub-subsection">
    <w:name w:val="sub-sub section"/>
    <w:basedOn w:val="Subsection"/>
    <w:link w:val="sub-subsectionChar"/>
    <w:rsid w:val="0020368A"/>
    <w:pPr>
      <w:ind w:left="1440"/>
    </w:pPr>
  </w:style>
  <w:style w:type="character" w:customStyle="1" w:styleId="sub-subsectionChar">
    <w:name w:val="sub-sub section Char"/>
    <w:basedOn w:val="SubsectionChar"/>
    <w:link w:val="sub-subsection"/>
    <w:rsid w:val="0020368A"/>
    <w:rPr>
      <w:b/>
      <w:sz w:val="24"/>
      <w:szCs w:val="24"/>
    </w:rPr>
  </w:style>
  <w:style w:type="paragraph" w:customStyle="1" w:styleId="Table">
    <w:name w:val="Table"/>
    <w:basedOn w:val="Normal"/>
    <w:link w:val="TableChar"/>
    <w:qFormat/>
    <w:rsid w:val="00B447E5"/>
    <w:pPr>
      <w:spacing w:before="200" w:after="0" w:line="240" w:lineRule="auto"/>
      <w:ind w:firstLine="0"/>
    </w:pPr>
  </w:style>
  <w:style w:type="character" w:customStyle="1" w:styleId="TableChar">
    <w:name w:val="Table Char"/>
    <w:basedOn w:val="DefaultParagraphFont"/>
    <w:link w:val="Table"/>
    <w:rsid w:val="00B447E5"/>
    <w:rPr>
      <w:sz w:val="24"/>
      <w:szCs w:val="24"/>
    </w:rPr>
  </w:style>
  <w:style w:type="paragraph" w:styleId="ListParagraph">
    <w:name w:val="List Paragraph"/>
    <w:basedOn w:val="Normal"/>
    <w:uiPriority w:val="34"/>
    <w:qFormat/>
    <w:rsid w:val="00623F9E"/>
    <w:pPr>
      <w:spacing w:after="200" w:line="276" w:lineRule="auto"/>
      <w:ind w:left="720" w:firstLine="0"/>
      <w:contextualSpacing/>
      <w:jc w:val="left"/>
      <w:outlineLvl w:val="9"/>
    </w:pPr>
    <w:rPr>
      <w:rFonts w:asciiTheme="minorHAnsi" w:eastAsiaTheme="minorHAnsi" w:hAnsiTheme="minorHAnsi" w:cstheme="minorBidi"/>
      <w:sz w:val="22"/>
      <w:szCs w:val="22"/>
    </w:rPr>
  </w:style>
  <w:style w:type="character" w:styleId="CommentReference">
    <w:name w:val="annotation reference"/>
    <w:basedOn w:val="DefaultParagraphFont"/>
    <w:uiPriority w:val="99"/>
    <w:semiHidden/>
    <w:unhideWhenUsed/>
    <w:rsid w:val="00A32F96"/>
    <w:rPr>
      <w:sz w:val="18"/>
      <w:szCs w:val="18"/>
    </w:rPr>
  </w:style>
  <w:style w:type="paragraph" w:styleId="CommentText">
    <w:name w:val="annotation text"/>
    <w:basedOn w:val="Normal"/>
    <w:link w:val="CommentTextChar"/>
    <w:uiPriority w:val="99"/>
    <w:unhideWhenUsed/>
    <w:rsid w:val="00A32F96"/>
    <w:pPr>
      <w:spacing w:line="240" w:lineRule="auto"/>
    </w:pPr>
  </w:style>
  <w:style w:type="character" w:customStyle="1" w:styleId="CommentTextChar">
    <w:name w:val="Comment Text Char"/>
    <w:basedOn w:val="DefaultParagraphFont"/>
    <w:link w:val="CommentText"/>
    <w:uiPriority w:val="99"/>
    <w:rsid w:val="00A32F96"/>
    <w:rPr>
      <w:sz w:val="24"/>
      <w:szCs w:val="24"/>
    </w:rPr>
  </w:style>
  <w:style w:type="character" w:customStyle="1" w:styleId="apple-converted-space">
    <w:name w:val="apple-converted-space"/>
    <w:basedOn w:val="DefaultParagraphFont"/>
    <w:rsid w:val="00A32F96"/>
  </w:style>
  <w:style w:type="paragraph" w:customStyle="1" w:styleId="StyleListParagraphJustifiedAfter6ptLinespacing15">
    <w:name w:val="Style List Paragraph + Justified After:  6 pt Line spacing:  1.5 ..."/>
    <w:basedOn w:val="ListParagraph"/>
    <w:rsid w:val="00083618"/>
    <w:pPr>
      <w:spacing w:after="120" w:line="360" w:lineRule="auto"/>
      <w:jc w:val="both"/>
    </w:pPr>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semiHidden/>
    <w:unhideWhenUsed/>
    <w:rsid w:val="008356AD"/>
    <w:rPr>
      <w:b/>
      <w:bCs/>
      <w:sz w:val="20"/>
      <w:szCs w:val="20"/>
    </w:rPr>
  </w:style>
  <w:style w:type="character" w:customStyle="1" w:styleId="CommentSubjectChar">
    <w:name w:val="Comment Subject Char"/>
    <w:basedOn w:val="CommentTextChar"/>
    <w:link w:val="CommentSubject"/>
    <w:semiHidden/>
    <w:rsid w:val="008356AD"/>
    <w:rPr>
      <w:b/>
      <w:bCs/>
      <w:sz w:val="24"/>
      <w:szCs w:val="24"/>
    </w:rPr>
  </w:style>
  <w:style w:type="paragraph" w:customStyle="1" w:styleId="FOFNumbered">
    <w:name w:val="FOF Numbered"/>
    <w:basedOn w:val="Normal"/>
    <w:link w:val="FOFNumberedChar"/>
    <w:rsid w:val="0083376A"/>
    <w:pPr>
      <w:numPr>
        <w:numId w:val="23"/>
      </w:numPr>
      <w:spacing w:before="120" w:after="0"/>
      <w:outlineLvl w:val="9"/>
    </w:pPr>
    <w:rPr>
      <w:snapToGrid w:val="0"/>
      <w:szCs w:val="20"/>
    </w:rPr>
  </w:style>
  <w:style w:type="character" w:customStyle="1" w:styleId="FOFNumberedChar">
    <w:name w:val="FOF Numbered Char"/>
    <w:link w:val="FOFNumbered"/>
    <w:rsid w:val="0083376A"/>
    <w:rPr>
      <w:snapToGrid w:val="0"/>
      <w:sz w:val="24"/>
    </w:rPr>
  </w:style>
  <w:style w:type="paragraph" w:styleId="EndnoteText">
    <w:name w:val="endnote text"/>
    <w:basedOn w:val="Normal"/>
    <w:link w:val="EndnoteTextChar"/>
    <w:semiHidden/>
    <w:unhideWhenUsed/>
    <w:rsid w:val="007D64F2"/>
    <w:pPr>
      <w:spacing w:after="0" w:line="240" w:lineRule="auto"/>
    </w:pPr>
    <w:rPr>
      <w:sz w:val="20"/>
      <w:szCs w:val="20"/>
    </w:rPr>
  </w:style>
  <w:style w:type="character" w:customStyle="1" w:styleId="EndnoteTextChar">
    <w:name w:val="Endnote Text Char"/>
    <w:basedOn w:val="DefaultParagraphFont"/>
    <w:link w:val="EndnoteText"/>
    <w:semiHidden/>
    <w:rsid w:val="007D64F2"/>
  </w:style>
  <w:style w:type="paragraph" w:styleId="Revision">
    <w:name w:val="Revision"/>
    <w:hidden/>
    <w:uiPriority w:val="99"/>
    <w:semiHidden/>
    <w:rsid w:val="00E16020"/>
    <w:rPr>
      <w:sz w:val="24"/>
      <w:szCs w:val="24"/>
    </w:rPr>
  </w:style>
  <w:style w:type="character" w:customStyle="1" w:styleId="Heading4Char">
    <w:name w:val="Heading 4 Char"/>
    <w:aliases w:val="Sub3 Char"/>
    <w:basedOn w:val="DefaultParagraphFont"/>
    <w:link w:val="Heading4"/>
    <w:rsid w:val="005B1DF4"/>
    <w:rPr>
      <w:b/>
      <w:sz w:val="24"/>
      <w:szCs w:val="24"/>
    </w:rPr>
  </w:style>
  <w:style w:type="paragraph" w:customStyle="1" w:styleId="blockquotefn">
    <w:name w:val="blockquote.fn"/>
    <w:basedOn w:val="Blockquote"/>
    <w:link w:val="blockquotefnChar"/>
    <w:qFormat/>
    <w:rsid w:val="00280FF4"/>
    <w:rPr>
      <w:sz w:val="20"/>
    </w:rPr>
  </w:style>
  <w:style w:type="character" w:customStyle="1" w:styleId="blockquotefnChar">
    <w:name w:val="blockquote.fn Char"/>
    <w:basedOn w:val="BlockquoteChar"/>
    <w:link w:val="blockquotefn"/>
    <w:rsid w:val="00280FF4"/>
    <w:rPr>
      <w:sz w:val="24"/>
    </w:rPr>
  </w:style>
  <w:style w:type="paragraph" w:styleId="PlainText">
    <w:name w:val="Plain Text"/>
    <w:basedOn w:val="Normal"/>
    <w:link w:val="PlainTextChar"/>
    <w:uiPriority w:val="99"/>
    <w:rsid w:val="005B1DF4"/>
    <w:pPr>
      <w:spacing w:after="0" w:line="240" w:lineRule="auto"/>
      <w:ind w:firstLine="0"/>
      <w:jc w:val="left"/>
      <w:outlineLvl w:val="9"/>
    </w:pPr>
    <w:rPr>
      <w:rFonts w:ascii="Courier New" w:hAnsi="Courier New"/>
      <w:lang w:val="x-none" w:eastAsia="x-none"/>
    </w:rPr>
  </w:style>
  <w:style w:type="character" w:customStyle="1" w:styleId="PlainTextChar">
    <w:name w:val="Plain Text Char"/>
    <w:basedOn w:val="DefaultParagraphFont"/>
    <w:link w:val="PlainText"/>
    <w:uiPriority w:val="99"/>
    <w:rsid w:val="005B1DF4"/>
    <w:rPr>
      <w:rFonts w:ascii="Courier New" w:hAnsi="Courier New"/>
      <w:sz w:val="24"/>
      <w:szCs w:val="24"/>
      <w:lang w:val="x-none" w:eastAsia="x-none"/>
    </w:rPr>
  </w:style>
  <w:style w:type="character" w:styleId="Strong">
    <w:name w:val="Strong"/>
    <w:uiPriority w:val="2"/>
    <w:qFormat/>
    <w:rsid w:val="00CA54A5"/>
    <w:rPr>
      <w:rFonts w:ascii="Times New Roman" w:eastAsia="Times New Roman" w:hAnsi="Times New Roman" w:cs="Times New Roman"/>
      <w:b/>
    </w:rPr>
  </w:style>
  <w:style w:type="character" w:styleId="Emphasis">
    <w:name w:val="Emphasis"/>
    <w:uiPriority w:val="2"/>
    <w:qFormat/>
    <w:rsid w:val="00CA54A5"/>
    <w:rPr>
      <w:rFonts w:ascii="Times New Roman" w:eastAsia="Times New Roman" w:hAnsi="Times New Roman" w:cs="Times New Roman"/>
      <w:i/>
    </w:rPr>
  </w:style>
  <w:style w:type="character" w:customStyle="1" w:styleId="Heading3Char">
    <w:name w:val="Heading 3 Char"/>
    <w:aliases w:val="Sub2 Char"/>
    <w:basedOn w:val="DefaultParagraphFont"/>
    <w:link w:val="Heading3"/>
    <w:rsid w:val="00CA54A5"/>
    <w:rPr>
      <w:rFonts w:ascii="Times New Roman Bold" w:hAnsi="Times New Roman Bold"/>
      <w:b/>
      <w:sz w:val="24"/>
      <w:szCs w:val="24"/>
    </w:rPr>
  </w:style>
  <w:style w:type="paragraph" w:customStyle="1" w:styleId="Citationfor111">
    <w:name w:val="Citation for 1.1.1"/>
    <w:basedOn w:val="Normal"/>
    <w:link w:val="Citationfor111Char"/>
    <w:qFormat/>
    <w:rsid w:val="0058520A"/>
    <w:pPr>
      <w:spacing w:before="60" w:after="60" w:line="240" w:lineRule="auto"/>
      <w:ind w:left="1872" w:right="1872" w:firstLine="0"/>
      <w:outlineLvl w:val="9"/>
    </w:pPr>
    <w:rPr>
      <w:sz w:val="20"/>
      <w:szCs w:val="20"/>
    </w:rPr>
  </w:style>
  <w:style w:type="character" w:customStyle="1" w:styleId="Citationfor111Char">
    <w:name w:val="Citation for 1.1.1 Char"/>
    <w:basedOn w:val="DefaultParagraphFont"/>
    <w:link w:val="Citationfor111"/>
    <w:rsid w:val="0058520A"/>
  </w:style>
  <w:style w:type="character" w:customStyle="1" w:styleId="HeaderChar">
    <w:name w:val="Header Char"/>
    <w:basedOn w:val="DefaultParagraphFont"/>
    <w:link w:val="Header"/>
    <w:rsid w:val="003246A8"/>
    <w:rPr>
      <w:b/>
      <w:caps/>
      <w:sz w:val="28"/>
      <w:szCs w:val="28"/>
    </w:rPr>
  </w:style>
  <w:style w:type="character" w:customStyle="1" w:styleId="Heading2Char">
    <w:name w:val="Heading 2 Char"/>
    <w:aliases w:val="Sub1 Char"/>
    <w:basedOn w:val="DefaultParagraphFont"/>
    <w:link w:val="Heading2"/>
    <w:uiPriority w:val="1"/>
    <w:rsid w:val="00A90A35"/>
    <w:rPr>
      <w:rFonts w:ascii="Times New Roman Bold" w:hAnsi="Times New Roman Bold"/>
      <w:b/>
      <w:sz w:val="24"/>
      <w:szCs w:val="24"/>
    </w:rPr>
  </w:style>
  <w:style w:type="character" w:customStyle="1" w:styleId="StyleSuperscript">
    <w:name w:val="Style Superscript"/>
    <w:basedOn w:val="FootnoteReference"/>
    <w:rsid w:val="00A47B48"/>
    <w:rPr>
      <w:position w:val="6"/>
      <w:sz w:val="16"/>
    </w:rPr>
  </w:style>
  <w:style w:type="paragraph" w:styleId="DocumentMap">
    <w:name w:val="Document Map"/>
    <w:basedOn w:val="Normal"/>
    <w:link w:val="DocumentMapChar"/>
    <w:semiHidden/>
    <w:unhideWhenUsed/>
    <w:rsid w:val="004C51B7"/>
    <w:pPr>
      <w:spacing w:after="0" w:line="240" w:lineRule="auto"/>
    </w:pPr>
  </w:style>
  <w:style w:type="character" w:customStyle="1" w:styleId="DocumentMapChar">
    <w:name w:val="Document Map Char"/>
    <w:basedOn w:val="DefaultParagraphFont"/>
    <w:link w:val="DocumentMap"/>
    <w:semiHidden/>
    <w:rsid w:val="004C51B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54558">
      <w:bodyDiv w:val="1"/>
      <w:marLeft w:val="0"/>
      <w:marRight w:val="0"/>
      <w:marTop w:val="0"/>
      <w:marBottom w:val="0"/>
      <w:divBdr>
        <w:top w:val="none" w:sz="0" w:space="0" w:color="auto"/>
        <w:left w:val="none" w:sz="0" w:space="0" w:color="auto"/>
        <w:bottom w:val="none" w:sz="0" w:space="0" w:color="auto"/>
        <w:right w:val="none" w:sz="0" w:space="0" w:color="auto"/>
      </w:divBdr>
    </w:div>
    <w:div w:id="474109189">
      <w:bodyDiv w:val="1"/>
      <w:marLeft w:val="0"/>
      <w:marRight w:val="0"/>
      <w:marTop w:val="0"/>
      <w:marBottom w:val="0"/>
      <w:divBdr>
        <w:top w:val="none" w:sz="0" w:space="0" w:color="auto"/>
        <w:left w:val="none" w:sz="0" w:space="0" w:color="auto"/>
        <w:bottom w:val="none" w:sz="0" w:space="0" w:color="auto"/>
        <w:right w:val="none" w:sz="0" w:space="0" w:color="auto"/>
      </w:divBdr>
    </w:div>
    <w:div w:id="479925609">
      <w:bodyDiv w:val="1"/>
      <w:marLeft w:val="0"/>
      <w:marRight w:val="0"/>
      <w:marTop w:val="0"/>
      <w:marBottom w:val="0"/>
      <w:divBdr>
        <w:top w:val="none" w:sz="0" w:space="0" w:color="auto"/>
        <w:left w:val="none" w:sz="0" w:space="0" w:color="auto"/>
        <w:bottom w:val="none" w:sz="0" w:space="0" w:color="auto"/>
        <w:right w:val="none" w:sz="0" w:space="0" w:color="auto"/>
      </w:divBdr>
    </w:div>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895699131">
      <w:bodyDiv w:val="1"/>
      <w:marLeft w:val="0"/>
      <w:marRight w:val="0"/>
      <w:marTop w:val="0"/>
      <w:marBottom w:val="0"/>
      <w:divBdr>
        <w:top w:val="none" w:sz="0" w:space="0" w:color="auto"/>
        <w:left w:val="none" w:sz="0" w:space="0" w:color="auto"/>
        <w:bottom w:val="none" w:sz="0" w:space="0" w:color="auto"/>
        <w:right w:val="none" w:sz="0" w:space="0" w:color="auto"/>
      </w:divBdr>
    </w:div>
    <w:div w:id="918519171">
      <w:bodyDiv w:val="1"/>
      <w:marLeft w:val="0"/>
      <w:marRight w:val="0"/>
      <w:marTop w:val="0"/>
      <w:marBottom w:val="0"/>
      <w:divBdr>
        <w:top w:val="none" w:sz="0" w:space="0" w:color="auto"/>
        <w:left w:val="none" w:sz="0" w:space="0" w:color="auto"/>
        <w:bottom w:val="none" w:sz="0" w:space="0" w:color="auto"/>
        <w:right w:val="none" w:sz="0" w:space="0" w:color="auto"/>
      </w:divBdr>
    </w:div>
    <w:div w:id="926884802">
      <w:bodyDiv w:val="1"/>
      <w:marLeft w:val="0"/>
      <w:marRight w:val="0"/>
      <w:marTop w:val="0"/>
      <w:marBottom w:val="0"/>
      <w:divBdr>
        <w:top w:val="none" w:sz="0" w:space="0" w:color="auto"/>
        <w:left w:val="none" w:sz="0" w:space="0" w:color="auto"/>
        <w:bottom w:val="none" w:sz="0" w:space="0" w:color="auto"/>
        <w:right w:val="none" w:sz="0" w:space="0" w:color="auto"/>
      </w:divBdr>
    </w:div>
    <w:div w:id="1045527292">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131510853">
      <w:bodyDiv w:val="1"/>
      <w:marLeft w:val="0"/>
      <w:marRight w:val="0"/>
      <w:marTop w:val="0"/>
      <w:marBottom w:val="0"/>
      <w:divBdr>
        <w:top w:val="none" w:sz="0" w:space="0" w:color="auto"/>
        <w:left w:val="none" w:sz="0" w:space="0" w:color="auto"/>
        <w:bottom w:val="none" w:sz="0" w:space="0" w:color="auto"/>
        <w:right w:val="none" w:sz="0" w:space="0" w:color="auto"/>
      </w:divBdr>
      <w:divsChild>
        <w:div w:id="1661880669">
          <w:marLeft w:val="0"/>
          <w:marRight w:val="0"/>
          <w:marTop w:val="0"/>
          <w:marBottom w:val="0"/>
          <w:divBdr>
            <w:top w:val="none" w:sz="0" w:space="0" w:color="auto"/>
            <w:left w:val="none" w:sz="0" w:space="0" w:color="auto"/>
            <w:bottom w:val="none" w:sz="0" w:space="0" w:color="auto"/>
            <w:right w:val="none" w:sz="0" w:space="0" w:color="auto"/>
          </w:divBdr>
        </w:div>
        <w:div w:id="225379220">
          <w:marLeft w:val="0"/>
          <w:marRight w:val="0"/>
          <w:marTop w:val="0"/>
          <w:marBottom w:val="0"/>
          <w:divBdr>
            <w:top w:val="none" w:sz="0" w:space="0" w:color="auto"/>
            <w:left w:val="none" w:sz="0" w:space="0" w:color="auto"/>
            <w:bottom w:val="none" w:sz="0" w:space="0" w:color="auto"/>
            <w:right w:val="none" w:sz="0" w:space="0" w:color="auto"/>
          </w:divBdr>
        </w:div>
        <w:div w:id="1611350571">
          <w:marLeft w:val="0"/>
          <w:marRight w:val="0"/>
          <w:marTop w:val="0"/>
          <w:marBottom w:val="0"/>
          <w:divBdr>
            <w:top w:val="none" w:sz="0" w:space="0" w:color="auto"/>
            <w:left w:val="none" w:sz="0" w:space="0" w:color="auto"/>
            <w:bottom w:val="none" w:sz="0" w:space="0" w:color="auto"/>
            <w:right w:val="none" w:sz="0" w:space="0" w:color="auto"/>
          </w:divBdr>
        </w:div>
        <w:div w:id="164711761">
          <w:marLeft w:val="0"/>
          <w:marRight w:val="0"/>
          <w:marTop w:val="0"/>
          <w:marBottom w:val="0"/>
          <w:divBdr>
            <w:top w:val="none" w:sz="0" w:space="0" w:color="auto"/>
            <w:left w:val="none" w:sz="0" w:space="0" w:color="auto"/>
            <w:bottom w:val="none" w:sz="0" w:space="0" w:color="auto"/>
            <w:right w:val="none" w:sz="0" w:space="0" w:color="auto"/>
          </w:divBdr>
          <w:divsChild>
            <w:div w:id="566964117">
              <w:marLeft w:val="0"/>
              <w:marRight w:val="0"/>
              <w:marTop w:val="0"/>
              <w:marBottom w:val="0"/>
              <w:divBdr>
                <w:top w:val="none" w:sz="0" w:space="0" w:color="auto"/>
                <w:left w:val="none" w:sz="0" w:space="0" w:color="auto"/>
                <w:bottom w:val="none" w:sz="0" w:space="0" w:color="auto"/>
                <w:right w:val="none" w:sz="0" w:space="0" w:color="auto"/>
              </w:divBdr>
              <w:divsChild>
                <w:div w:id="137454700">
                  <w:marLeft w:val="0"/>
                  <w:marRight w:val="0"/>
                  <w:marTop w:val="0"/>
                  <w:marBottom w:val="0"/>
                  <w:divBdr>
                    <w:top w:val="none" w:sz="0" w:space="0" w:color="auto"/>
                    <w:left w:val="none" w:sz="0" w:space="0" w:color="auto"/>
                    <w:bottom w:val="none" w:sz="0" w:space="0" w:color="auto"/>
                    <w:right w:val="none" w:sz="0" w:space="0" w:color="auto"/>
                  </w:divBdr>
                  <w:divsChild>
                    <w:div w:id="28246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j.smullen@puc.texas.gov" TargetMode="External"/><Relationship Id="rId13" Type="http://schemas.openxmlformats.org/officeDocument/2006/relationships/footer" Target="foot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14D95-A4E4-430A-95AA-6B7353BEB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5941</Words>
  <Characters>33828</Characters>
  <Application>Microsoft Office Word</Application>
  <DocSecurity>4</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2017-10-30T18:17:00Z</dcterms:created>
  <dcterms:modified xsi:type="dcterms:W3CDTF">2017-10-30T18:17:00Z</dcterms:modified>
</cp:coreProperties>
</file>